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AF0F1" w14:textId="77777777" w:rsidR="00B16A59" w:rsidRDefault="00B16A59" w:rsidP="00B16A59">
      <w:pPr>
        <w:spacing w:before="7"/>
        <w:ind w:right="1565"/>
        <w:rPr>
          <w:b/>
          <w:sz w:val="18"/>
        </w:rPr>
      </w:pPr>
    </w:p>
    <w:p w14:paraId="2CDC18E5" w14:textId="19BFA469" w:rsidR="00B72850" w:rsidRDefault="00B72850">
      <w:pPr>
        <w:rPr>
          <w:b/>
          <w:bCs/>
        </w:rPr>
      </w:pPr>
    </w:p>
    <w:p w14:paraId="245EA7CB" w14:textId="0E3F9384" w:rsidR="00081C57" w:rsidRPr="00B01F8E" w:rsidRDefault="00081C57">
      <w:pPr>
        <w:rPr>
          <w:rFonts w:ascii="Times New Roman" w:hAnsi="Times New Roman" w:cs="Times New Roman"/>
        </w:rPr>
      </w:pPr>
      <w:r w:rsidRPr="00B01F8E">
        <w:rPr>
          <w:rFonts w:ascii="Times New Roman" w:hAnsi="Times New Roman" w:cs="Times New Roman"/>
        </w:rPr>
        <w:t xml:space="preserve">April </w:t>
      </w:r>
      <w:r w:rsidR="00B72850" w:rsidRPr="00B01F8E">
        <w:rPr>
          <w:rFonts w:ascii="Times New Roman" w:hAnsi="Times New Roman" w:cs="Times New Roman"/>
        </w:rPr>
        <w:t>6, 2026</w:t>
      </w:r>
    </w:p>
    <w:p w14:paraId="6C43D16A" w14:textId="47916D3C" w:rsidR="00936932" w:rsidRPr="00B01F8E" w:rsidRDefault="00936932">
      <w:pPr>
        <w:rPr>
          <w:rFonts w:ascii="Times New Roman" w:hAnsi="Times New Roman" w:cs="Times New Roman"/>
          <w:b/>
          <w:bCs/>
        </w:rPr>
      </w:pPr>
      <w:r w:rsidRPr="00B01F8E">
        <w:rPr>
          <w:rFonts w:ascii="Times New Roman" w:hAnsi="Times New Roman" w:cs="Times New Roman"/>
          <w:b/>
          <w:bCs/>
        </w:rPr>
        <w:t>RE: Clean Water Act Hazardous Substance Facility Response Plans: Compliance Date Delay and Changes To Reflect Administration Policy, March 5, 2026, 91 FR 10787)</w:t>
      </w:r>
      <w:r w:rsidR="001C2160" w:rsidRPr="00B01F8E">
        <w:rPr>
          <w:rFonts w:ascii="Times New Roman" w:hAnsi="Times New Roman" w:cs="Times New Roman"/>
          <w:b/>
          <w:bCs/>
        </w:rPr>
        <w:t xml:space="preserve"> Proposed Rule </w:t>
      </w:r>
    </w:p>
    <w:p w14:paraId="26B2D353" w14:textId="097A8240" w:rsidR="00936932" w:rsidRPr="00B01F8E" w:rsidRDefault="00936932">
      <w:pPr>
        <w:rPr>
          <w:rFonts w:ascii="Times New Roman" w:hAnsi="Times New Roman" w:cs="Times New Roman"/>
        </w:rPr>
      </w:pPr>
      <w:r w:rsidRPr="00B01F8E">
        <w:rPr>
          <w:rFonts w:ascii="Times New Roman" w:hAnsi="Times New Roman" w:cs="Times New Roman"/>
        </w:rPr>
        <w:t xml:space="preserve">Dear </w:t>
      </w:r>
      <w:r w:rsidR="00C06F30">
        <w:rPr>
          <w:rFonts w:ascii="Times New Roman" w:hAnsi="Times New Roman" w:cs="Times New Roman"/>
        </w:rPr>
        <w:t>Ms. Broussa</w:t>
      </w:r>
      <w:r w:rsidR="00A57BEC">
        <w:rPr>
          <w:rFonts w:ascii="Times New Roman" w:hAnsi="Times New Roman" w:cs="Times New Roman"/>
        </w:rPr>
        <w:t>r</w:t>
      </w:r>
      <w:r w:rsidR="00C06F30">
        <w:rPr>
          <w:rFonts w:ascii="Times New Roman" w:hAnsi="Times New Roman" w:cs="Times New Roman"/>
        </w:rPr>
        <w:t>d</w:t>
      </w:r>
      <w:r w:rsidRPr="00B01F8E">
        <w:rPr>
          <w:rFonts w:ascii="Times New Roman" w:hAnsi="Times New Roman" w:cs="Times New Roman"/>
        </w:rPr>
        <w:t>:</w:t>
      </w:r>
    </w:p>
    <w:p w14:paraId="5F2705A8" w14:textId="314BA88A" w:rsidR="00936932" w:rsidRPr="00B01F8E" w:rsidRDefault="00936932">
      <w:pPr>
        <w:rPr>
          <w:rFonts w:ascii="Times New Roman" w:hAnsi="Times New Roman" w:cs="Times New Roman"/>
          <w:sz w:val="22"/>
          <w:szCs w:val="22"/>
        </w:rPr>
      </w:pPr>
      <w:r w:rsidRPr="00B01F8E">
        <w:rPr>
          <w:rFonts w:ascii="Times New Roman" w:hAnsi="Times New Roman" w:cs="Times New Roman"/>
        </w:rPr>
        <w:tab/>
        <w:t xml:space="preserve">AFPM is pleased to submit these comments in support of EPA’s </w:t>
      </w:r>
      <w:r w:rsidR="001C2160" w:rsidRPr="00B01F8E">
        <w:rPr>
          <w:rFonts w:ascii="Times New Roman" w:hAnsi="Times New Roman" w:cs="Times New Roman"/>
        </w:rPr>
        <w:t xml:space="preserve">proposed rule </w:t>
      </w:r>
      <w:r w:rsidR="001C2160" w:rsidRPr="00B01F8E">
        <w:rPr>
          <w:rFonts w:ascii="Times New Roman" w:hAnsi="Times New Roman" w:cs="Times New Roman"/>
          <w:b/>
          <w:bCs/>
        </w:rPr>
        <w:t>(</w:t>
      </w:r>
      <w:r w:rsidR="001C2160" w:rsidRPr="00D525B5">
        <w:rPr>
          <w:rFonts w:ascii="Times New Roman" w:hAnsi="Times New Roman" w:cs="Times New Roman"/>
        </w:rPr>
        <w:t>Clean Water Act Hazardous Substance Facility Response Plans: Compliance Date Delay and Changes To Reflect Administration Policy, March 5, 2026, 91 FR 10787</w:t>
      </w:r>
      <w:r w:rsidR="005B14D7" w:rsidRPr="00D525B5">
        <w:rPr>
          <w:rFonts w:ascii="Times New Roman" w:hAnsi="Times New Roman" w:cs="Times New Roman"/>
        </w:rPr>
        <w:t>) to</w:t>
      </w:r>
      <w:r w:rsidR="001C2160" w:rsidRPr="00D525B5">
        <w:rPr>
          <w:rFonts w:ascii="Times New Roman" w:hAnsi="Times New Roman" w:cs="Times New Roman"/>
        </w:rPr>
        <w:t xml:space="preserve"> </w:t>
      </w:r>
      <w:r w:rsidRPr="00D525B5">
        <w:rPr>
          <w:rFonts w:ascii="Times New Roman" w:hAnsi="Times New Roman" w:cs="Times New Roman"/>
        </w:rPr>
        <w:t>change</w:t>
      </w:r>
      <w:r w:rsidRPr="00B01F8E">
        <w:rPr>
          <w:rFonts w:ascii="Times New Roman" w:hAnsi="Times New Roman" w:cs="Times New Roman"/>
        </w:rPr>
        <w:t xml:space="preserve"> </w:t>
      </w:r>
      <w:r w:rsidR="001C2160" w:rsidRPr="00B01F8E">
        <w:rPr>
          <w:rFonts w:ascii="Times New Roman" w:hAnsi="Times New Roman" w:cs="Times New Roman"/>
        </w:rPr>
        <w:t>the</w:t>
      </w:r>
      <w:r w:rsidRPr="00B01F8E">
        <w:rPr>
          <w:rFonts w:ascii="Times New Roman" w:hAnsi="Times New Roman" w:cs="Times New Roman"/>
        </w:rPr>
        <w:t xml:space="preserve"> compliance date for the Clean Water Act Facility Response Plan final rule of March 28, 2024.  AFPM members have refineries, petrochemicals, and terminals that are all subject to the rule.</w:t>
      </w:r>
      <w:r w:rsidR="001C2160" w:rsidRPr="00B01F8E">
        <w:rPr>
          <w:rFonts w:ascii="Times New Roman" w:hAnsi="Times New Roman" w:cs="Times New Roman"/>
        </w:rPr>
        <w:t xml:space="preserve">  AFPM is the leading trade association representing the makers of the fuels that keep us moving, the petrochemicals that are the essential building blocks for modern life, and the midstream companies that get our feedstocks and products where they need to go. </w:t>
      </w:r>
    </w:p>
    <w:p w14:paraId="55A291D5" w14:textId="6E30DE18" w:rsidR="00081C57" w:rsidRPr="00F164DF" w:rsidRDefault="00081C57" w:rsidP="00081C57">
      <w:pPr>
        <w:pStyle w:val="ListParagraph"/>
        <w:numPr>
          <w:ilvl w:val="0"/>
          <w:numId w:val="1"/>
        </w:numPr>
        <w:rPr>
          <w:rFonts w:ascii="Times New Roman" w:hAnsi="Times New Roman" w:cs="Times New Roman"/>
          <w:b/>
          <w:bCs/>
        </w:rPr>
      </w:pPr>
      <w:r w:rsidRPr="00B01F8E">
        <w:rPr>
          <w:rFonts w:ascii="Times New Roman" w:hAnsi="Times New Roman" w:cs="Times New Roman"/>
          <w:b/>
          <w:bCs/>
          <w:sz w:val="28"/>
          <w:szCs w:val="28"/>
        </w:rPr>
        <w:t>Background</w:t>
      </w:r>
    </w:p>
    <w:p w14:paraId="117411E3" w14:textId="0EC1B031" w:rsidR="00D3162D" w:rsidRPr="00494A92" w:rsidRDefault="001C2160" w:rsidP="00991AD5">
      <w:pPr>
        <w:pStyle w:val="Heading3"/>
        <w:shd w:val="clear" w:color="auto" w:fill="FFFFFF"/>
        <w:spacing w:before="360" w:after="30"/>
        <w:ind w:firstLine="360"/>
        <w:rPr>
          <w:rFonts w:ascii="Times New Roman" w:hAnsi="Times New Roman" w:cs="Times New Roman"/>
          <w:color w:val="auto"/>
          <w:sz w:val="24"/>
          <w:szCs w:val="24"/>
        </w:rPr>
      </w:pPr>
      <w:r w:rsidRPr="00F164DF">
        <w:rPr>
          <w:rFonts w:ascii="Times New Roman" w:hAnsi="Times New Roman" w:cs="Times New Roman"/>
          <w:color w:val="auto"/>
          <w:sz w:val="24"/>
          <w:szCs w:val="24"/>
        </w:rPr>
        <w:t>There are numerous terminals, refineries</w:t>
      </w:r>
      <w:r w:rsidR="00060442">
        <w:rPr>
          <w:rFonts w:ascii="Times New Roman" w:hAnsi="Times New Roman" w:cs="Times New Roman"/>
          <w:color w:val="auto"/>
          <w:sz w:val="24"/>
          <w:szCs w:val="24"/>
        </w:rPr>
        <w:t>,</w:t>
      </w:r>
      <w:r w:rsidRPr="00F164DF">
        <w:rPr>
          <w:rFonts w:ascii="Times New Roman" w:hAnsi="Times New Roman" w:cs="Times New Roman"/>
          <w:color w:val="auto"/>
          <w:sz w:val="24"/>
          <w:szCs w:val="24"/>
        </w:rPr>
        <w:t xml:space="preserve"> and petrochemical sites that are members of AFPM that are subject to the </w:t>
      </w:r>
      <w:r w:rsidR="00D3162D" w:rsidRPr="00F164DF">
        <w:rPr>
          <w:rFonts w:ascii="Times New Roman" w:hAnsi="Times New Roman" w:cs="Times New Roman"/>
          <w:color w:val="auto"/>
          <w:sz w:val="24"/>
          <w:szCs w:val="24"/>
        </w:rPr>
        <w:t xml:space="preserve">March 28, </w:t>
      </w:r>
      <w:r w:rsidR="00A45E1C" w:rsidRPr="00F164DF">
        <w:rPr>
          <w:rFonts w:ascii="Times New Roman" w:hAnsi="Times New Roman" w:cs="Times New Roman"/>
          <w:color w:val="auto"/>
          <w:sz w:val="24"/>
          <w:szCs w:val="24"/>
        </w:rPr>
        <w:t>2024,</w:t>
      </w:r>
      <w:r w:rsidR="00D3162D" w:rsidRPr="00F164DF">
        <w:rPr>
          <w:rFonts w:ascii="Times New Roman" w:hAnsi="Times New Roman" w:cs="Times New Roman"/>
          <w:color w:val="auto"/>
          <w:sz w:val="24"/>
          <w:szCs w:val="24"/>
        </w:rPr>
        <w:t xml:space="preserve"> final rule that reside </w:t>
      </w:r>
      <w:r w:rsidR="00060442">
        <w:rPr>
          <w:rFonts w:ascii="Times New Roman" w:hAnsi="Times New Roman" w:cs="Times New Roman"/>
          <w:color w:val="auto"/>
          <w:sz w:val="24"/>
          <w:szCs w:val="24"/>
        </w:rPr>
        <w:t>adjacent to</w:t>
      </w:r>
      <w:r w:rsidR="00D3162D" w:rsidRPr="00F164DF">
        <w:rPr>
          <w:rFonts w:ascii="Times New Roman" w:hAnsi="Times New Roman" w:cs="Times New Roman"/>
          <w:color w:val="auto"/>
          <w:sz w:val="24"/>
          <w:szCs w:val="24"/>
        </w:rPr>
        <w:t xml:space="preserve"> Waters of the U</w:t>
      </w:r>
      <w:r w:rsidR="00F32666" w:rsidRPr="00F164DF">
        <w:rPr>
          <w:rFonts w:ascii="Times New Roman" w:hAnsi="Times New Roman" w:cs="Times New Roman"/>
          <w:color w:val="auto"/>
          <w:sz w:val="24"/>
          <w:szCs w:val="24"/>
        </w:rPr>
        <w:t xml:space="preserve">nited </w:t>
      </w:r>
      <w:r w:rsidR="00D3162D" w:rsidRPr="00F164DF">
        <w:rPr>
          <w:rFonts w:ascii="Times New Roman" w:hAnsi="Times New Roman" w:cs="Times New Roman"/>
          <w:color w:val="auto"/>
          <w:sz w:val="24"/>
          <w:szCs w:val="24"/>
        </w:rPr>
        <w:t>S</w:t>
      </w:r>
      <w:r w:rsidR="00F32666" w:rsidRPr="00F164DF">
        <w:rPr>
          <w:rFonts w:ascii="Times New Roman" w:hAnsi="Times New Roman" w:cs="Times New Roman"/>
          <w:color w:val="auto"/>
          <w:sz w:val="24"/>
          <w:szCs w:val="24"/>
        </w:rPr>
        <w:t>tates</w:t>
      </w:r>
      <w:r w:rsidR="00D3162D" w:rsidRPr="00F164DF">
        <w:rPr>
          <w:rFonts w:ascii="Times New Roman" w:hAnsi="Times New Roman" w:cs="Times New Roman"/>
          <w:color w:val="auto"/>
          <w:sz w:val="24"/>
          <w:szCs w:val="24"/>
        </w:rPr>
        <w:t xml:space="preserve">. (WOTUS).  </w:t>
      </w:r>
      <w:r w:rsidRPr="00F164DF">
        <w:rPr>
          <w:rFonts w:ascii="Times New Roman" w:hAnsi="Times New Roman" w:cs="Times New Roman"/>
          <w:color w:val="auto"/>
          <w:sz w:val="24"/>
          <w:szCs w:val="24"/>
        </w:rPr>
        <w:t>AFPM submitted comments with a coalition (A</w:t>
      </w:r>
      <w:r w:rsidR="00F32666" w:rsidRPr="00F164DF">
        <w:rPr>
          <w:rFonts w:ascii="Times New Roman" w:hAnsi="Times New Roman" w:cs="Times New Roman"/>
          <w:color w:val="auto"/>
          <w:sz w:val="24"/>
          <w:szCs w:val="24"/>
        </w:rPr>
        <w:t>merican Petroleum Institute</w:t>
      </w:r>
      <w:r w:rsidRPr="00F164DF">
        <w:rPr>
          <w:rFonts w:ascii="Times New Roman" w:hAnsi="Times New Roman" w:cs="Times New Roman"/>
          <w:color w:val="auto"/>
          <w:sz w:val="24"/>
          <w:szCs w:val="24"/>
        </w:rPr>
        <w:t>, I</w:t>
      </w:r>
      <w:r w:rsidR="00F32666" w:rsidRPr="00F164DF">
        <w:rPr>
          <w:rFonts w:ascii="Times New Roman" w:hAnsi="Times New Roman" w:cs="Times New Roman"/>
          <w:color w:val="auto"/>
          <w:sz w:val="24"/>
          <w:szCs w:val="24"/>
        </w:rPr>
        <w:t xml:space="preserve">nternational </w:t>
      </w:r>
      <w:r w:rsidRPr="00F164DF">
        <w:rPr>
          <w:rFonts w:ascii="Times New Roman" w:hAnsi="Times New Roman" w:cs="Times New Roman"/>
          <w:color w:val="auto"/>
          <w:sz w:val="24"/>
          <w:szCs w:val="24"/>
        </w:rPr>
        <w:t>L</w:t>
      </w:r>
      <w:r w:rsidR="00F32666" w:rsidRPr="00F164DF">
        <w:rPr>
          <w:rFonts w:ascii="Times New Roman" w:hAnsi="Times New Roman" w:cs="Times New Roman"/>
          <w:color w:val="auto"/>
          <w:sz w:val="24"/>
          <w:szCs w:val="24"/>
        </w:rPr>
        <w:t xml:space="preserve">iquid </w:t>
      </w:r>
      <w:r w:rsidRPr="00F164DF">
        <w:rPr>
          <w:rFonts w:ascii="Times New Roman" w:hAnsi="Times New Roman" w:cs="Times New Roman"/>
          <w:color w:val="auto"/>
          <w:sz w:val="24"/>
          <w:szCs w:val="24"/>
        </w:rPr>
        <w:t>T</w:t>
      </w:r>
      <w:r w:rsidR="00F32666" w:rsidRPr="00F164DF">
        <w:rPr>
          <w:rFonts w:ascii="Times New Roman" w:hAnsi="Times New Roman" w:cs="Times New Roman"/>
          <w:color w:val="auto"/>
          <w:sz w:val="24"/>
          <w:szCs w:val="24"/>
        </w:rPr>
        <w:t xml:space="preserve">erminals </w:t>
      </w:r>
      <w:r w:rsidRPr="00F164DF">
        <w:rPr>
          <w:rFonts w:ascii="Times New Roman" w:hAnsi="Times New Roman" w:cs="Times New Roman"/>
          <w:color w:val="auto"/>
          <w:sz w:val="24"/>
          <w:szCs w:val="24"/>
        </w:rPr>
        <w:t>A</w:t>
      </w:r>
      <w:r w:rsidR="00F32666" w:rsidRPr="00F164DF">
        <w:rPr>
          <w:rFonts w:ascii="Times New Roman" w:hAnsi="Times New Roman" w:cs="Times New Roman"/>
          <w:color w:val="auto"/>
          <w:sz w:val="24"/>
          <w:szCs w:val="24"/>
        </w:rPr>
        <w:t>ssociation</w:t>
      </w:r>
      <w:r w:rsidRPr="00F164DF">
        <w:rPr>
          <w:rFonts w:ascii="Times New Roman" w:hAnsi="Times New Roman" w:cs="Times New Roman"/>
          <w:color w:val="auto"/>
          <w:sz w:val="24"/>
          <w:szCs w:val="24"/>
        </w:rPr>
        <w:t xml:space="preserve">, </w:t>
      </w:r>
      <w:hyperlink r:id="rId8" w:tgtFrame="_blank" w:history="1">
        <w:r w:rsidR="00E67EA5" w:rsidRPr="00F164DF">
          <w:rPr>
            <w:rFonts w:ascii="Times New Roman" w:eastAsia="Times New Roman" w:hAnsi="Times New Roman" w:cs="Times New Roman"/>
            <w:color w:val="auto"/>
            <w:kern w:val="0"/>
            <w:sz w:val="24"/>
            <w:szCs w:val="24"/>
            <w14:ligatures w14:val="none"/>
          </w:rPr>
          <w:t>American Exploration &amp; Production Council</w:t>
        </w:r>
      </w:hyperlink>
      <w:r w:rsidR="00C416F8">
        <w:rPr>
          <w:rFonts w:ascii="Times New Roman" w:eastAsia="Times New Roman" w:hAnsi="Times New Roman" w:cs="Times New Roman"/>
          <w:color w:val="auto"/>
          <w:kern w:val="0"/>
          <w:sz w:val="24"/>
          <w:szCs w:val="24"/>
          <w14:ligatures w14:val="none"/>
        </w:rPr>
        <w:t xml:space="preserve"> </w:t>
      </w:r>
      <w:r w:rsidR="00F164DF" w:rsidRPr="00494A92">
        <w:rPr>
          <w:rFonts w:ascii="Times New Roman" w:hAnsi="Times New Roman" w:cs="Times New Roman"/>
          <w:color w:val="auto"/>
          <w:sz w:val="24"/>
          <w:szCs w:val="24"/>
        </w:rPr>
        <w:t>(</w:t>
      </w:r>
      <w:r w:rsidRPr="00494A92">
        <w:rPr>
          <w:rFonts w:ascii="Times New Roman" w:hAnsi="Times New Roman" w:cs="Times New Roman"/>
          <w:color w:val="auto"/>
          <w:sz w:val="24"/>
          <w:szCs w:val="24"/>
        </w:rPr>
        <w:t>AXP)</w:t>
      </w:r>
      <w:r w:rsidR="00C416F8">
        <w:rPr>
          <w:rFonts w:ascii="Times New Roman" w:hAnsi="Times New Roman" w:cs="Times New Roman"/>
          <w:color w:val="auto"/>
          <w:sz w:val="24"/>
          <w:szCs w:val="24"/>
        </w:rPr>
        <w:t xml:space="preserve">, </w:t>
      </w:r>
      <w:r w:rsidRPr="00494A92">
        <w:rPr>
          <w:rFonts w:ascii="Times New Roman" w:hAnsi="Times New Roman" w:cs="Times New Roman"/>
          <w:color w:val="auto"/>
          <w:sz w:val="24"/>
          <w:szCs w:val="24"/>
        </w:rPr>
        <w:t xml:space="preserve"> on the March 22, </w:t>
      </w:r>
      <w:r w:rsidR="00A45E1C" w:rsidRPr="00494A92">
        <w:rPr>
          <w:rFonts w:ascii="Times New Roman" w:hAnsi="Times New Roman" w:cs="Times New Roman"/>
          <w:color w:val="auto"/>
          <w:sz w:val="24"/>
          <w:szCs w:val="24"/>
        </w:rPr>
        <w:t>2022,</w:t>
      </w:r>
      <w:r w:rsidRPr="00494A92">
        <w:rPr>
          <w:rFonts w:ascii="Times New Roman" w:hAnsi="Times New Roman" w:cs="Times New Roman"/>
          <w:color w:val="auto"/>
          <w:sz w:val="24"/>
          <w:szCs w:val="24"/>
        </w:rPr>
        <w:t xml:space="preserve"> proposed rule</w:t>
      </w:r>
      <w:r w:rsidR="00020F53">
        <w:rPr>
          <w:rFonts w:ascii="Times New Roman" w:hAnsi="Times New Roman" w:cs="Times New Roman"/>
          <w:color w:val="auto"/>
          <w:sz w:val="24"/>
          <w:szCs w:val="24"/>
        </w:rPr>
        <w:t>.   Our comments</w:t>
      </w:r>
      <w:r w:rsidRPr="00494A92">
        <w:rPr>
          <w:rFonts w:ascii="Times New Roman" w:hAnsi="Times New Roman" w:cs="Times New Roman"/>
          <w:color w:val="auto"/>
          <w:sz w:val="24"/>
          <w:szCs w:val="24"/>
        </w:rPr>
        <w:t xml:space="preserve"> </w:t>
      </w:r>
      <w:r w:rsidR="00F32666" w:rsidRPr="00494A92">
        <w:rPr>
          <w:rFonts w:ascii="Times New Roman" w:hAnsi="Times New Roman" w:cs="Times New Roman"/>
          <w:color w:val="auto"/>
          <w:sz w:val="24"/>
          <w:szCs w:val="24"/>
        </w:rPr>
        <w:t xml:space="preserve">raised </w:t>
      </w:r>
      <w:r w:rsidRPr="00494A92">
        <w:rPr>
          <w:rFonts w:ascii="Times New Roman" w:hAnsi="Times New Roman" w:cs="Times New Roman"/>
          <w:color w:val="auto"/>
          <w:sz w:val="24"/>
          <w:szCs w:val="24"/>
        </w:rPr>
        <w:t xml:space="preserve">numerous recommendations to limit the scope of the overly broad rule and to make </w:t>
      </w:r>
      <w:r w:rsidR="00D3162D" w:rsidRPr="00494A92">
        <w:rPr>
          <w:rFonts w:ascii="Times New Roman" w:hAnsi="Times New Roman" w:cs="Times New Roman"/>
          <w:color w:val="auto"/>
          <w:sz w:val="24"/>
          <w:szCs w:val="24"/>
        </w:rPr>
        <w:t xml:space="preserve">it </w:t>
      </w:r>
      <w:r w:rsidRPr="00494A92">
        <w:rPr>
          <w:rFonts w:ascii="Times New Roman" w:hAnsi="Times New Roman" w:cs="Times New Roman"/>
          <w:color w:val="auto"/>
          <w:sz w:val="24"/>
          <w:szCs w:val="24"/>
        </w:rPr>
        <w:t xml:space="preserve">more </w:t>
      </w:r>
      <w:r w:rsidR="00D3162D" w:rsidRPr="00494A92">
        <w:rPr>
          <w:rFonts w:ascii="Times New Roman" w:hAnsi="Times New Roman" w:cs="Times New Roman"/>
          <w:color w:val="auto"/>
          <w:sz w:val="24"/>
          <w:szCs w:val="24"/>
        </w:rPr>
        <w:t>risk-based</w:t>
      </w:r>
      <w:r w:rsidRPr="00494A92">
        <w:rPr>
          <w:rFonts w:ascii="Times New Roman" w:hAnsi="Times New Roman" w:cs="Times New Roman"/>
          <w:color w:val="auto"/>
          <w:sz w:val="24"/>
          <w:szCs w:val="24"/>
        </w:rPr>
        <w:t xml:space="preserve"> and practical (original comment attached).  </w:t>
      </w:r>
    </w:p>
    <w:p w14:paraId="405DB473" w14:textId="77777777" w:rsidR="00020F53" w:rsidRDefault="00020F53" w:rsidP="00A374B8">
      <w:pPr>
        <w:rPr>
          <w:rFonts w:ascii="Times New Roman" w:hAnsi="Times New Roman" w:cs="Times New Roman"/>
        </w:rPr>
      </w:pPr>
    </w:p>
    <w:p w14:paraId="6D862ECD" w14:textId="3730A0CE" w:rsidR="00D3162D" w:rsidRDefault="00D3162D" w:rsidP="002D4DB9">
      <w:pPr>
        <w:ind w:firstLine="360"/>
        <w:rPr>
          <w:rFonts w:ascii="Times New Roman" w:hAnsi="Times New Roman" w:cs="Times New Roman"/>
        </w:rPr>
      </w:pPr>
      <w:r w:rsidRPr="00B01F8E">
        <w:rPr>
          <w:rFonts w:ascii="Times New Roman" w:hAnsi="Times New Roman" w:cs="Times New Roman"/>
        </w:rPr>
        <w:t>AFPM</w:t>
      </w:r>
      <w:r w:rsidR="00F32666">
        <w:rPr>
          <w:rFonts w:ascii="Times New Roman" w:hAnsi="Times New Roman" w:cs="Times New Roman"/>
        </w:rPr>
        <w:t>’s member</w:t>
      </w:r>
      <w:r w:rsidRPr="00B01F8E">
        <w:rPr>
          <w:rFonts w:ascii="Times New Roman" w:hAnsi="Times New Roman" w:cs="Times New Roman"/>
        </w:rPr>
        <w:t xml:space="preserve"> sites </w:t>
      </w:r>
      <w:r w:rsidR="008E3222">
        <w:rPr>
          <w:rFonts w:ascii="Times New Roman" w:hAnsi="Times New Roman" w:cs="Times New Roman"/>
        </w:rPr>
        <w:t>are subject to</w:t>
      </w:r>
      <w:r w:rsidRPr="00B01F8E">
        <w:rPr>
          <w:rFonts w:ascii="Times New Roman" w:hAnsi="Times New Roman" w:cs="Times New Roman"/>
        </w:rPr>
        <w:t xml:space="preserve"> the July 17, </w:t>
      </w:r>
      <w:r w:rsidR="000845CA" w:rsidRPr="00B01F8E">
        <w:rPr>
          <w:rFonts w:ascii="Times New Roman" w:hAnsi="Times New Roman" w:cs="Times New Roman"/>
        </w:rPr>
        <w:t>2002,</w:t>
      </w:r>
      <w:r w:rsidRPr="00B01F8E">
        <w:rPr>
          <w:rFonts w:ascii="Times New Roman" w:hAnsi="Times New Roman" w:cs="Times New Roman"/>
        </w:rPr>
        <w:t xml:space="preserve"> Spill Prevention, Control, and Countermeasures</w:t>
      </w:r>
      <w:r w:rsidR="00F32666">
        <w:rPr>
          <w:rFonts w:ascii="Times New Roman" w:hAnsi="Times New Roman" w:cs="Times New Roman"/>
        </w:rPr>
        <w:t>. EPA</w:t>
      </w:r>
      <w:r w:rsidRPr="00B01F8E">
        <w:rPr>
          <w:rFonts w:ascii="Times New Roman" w:hAnsi="Times New Roman" w:cs="Times New Roman"/>
        </w:rPr>
        <w:t xml:space="preserve"> published a final rule that amended the SPCC regulations (</w:t>
      </w:r>
      <w:r w:rsidRPr="00B01F8E">
        <w:rPr>
          <w:rStyle w:val="Emphasis"/>
          <w:rFonts w:ascii="Times New Roman" w:hAnsi="Times New Roman" w:cs="Times New Roman"/>
        </w:rPr>
        <w:t xml:space="preserve">see </w:t>
      </w:r>
      <w:hyperlink r:id="rId9" w:history="1">
        <w:r w:rsidRPr="00B01F8E">
          <w:rPr>
            <w:rStyle w:val="Hyperlink"/>
            <w:rFonts w:ascii="Times New Roman" w:hAnsi="Times New Roman" w:cs="Times New Roman"/>
            <w:color w:val="auto"/>
          </w:rPr>
          <w:t>67 FR 47042</w:t>
        </w:r>
      </w:hyperlink>
      <w:r w:rsidRPr="00B01F8E">
        <w:rPr>
          <w:rFonts w:ascii="Times New Roman" w:hAnsi="Times New Roman" w:cs="Times New Roman"/>
        </w:rPr>
        <w:t>)  and the CAA Risk Management Plan (</w:t>
      </w:r>
      <w:r w:rsidR="00A374B8" w:rsidRPr="00B01F8E">
        <w:rPr>
          <w:rFonts w:ascii="Times New Roman" w:hAnsi="Times New Roman" w:cs="Times New Roman"/>
        </w:rPr>
        <w:t>2024 rule “Accidental Release Prevention Requirements: Risk Management Programs Under the Clean Air Act; Safer Communities by Chemical Accident Prevention” (</w:t>
      </w:r>
      <w:hyperlink r:id="rId10" w:history="1">
        <w:r w:rsidR="00A374B8" w:rsidRPr="00473C38">
          <w:rPr>
            <w:rStyle w:val="Hyperlink"/>
            <w:rFonts w:ascii="Times New Roman" w:hAnsi="Times New Roman" w:cs="Times New Roman"/>
            <w:color w:val="auto"/>
          </w:rPr>
          <w:t>89 FR 17622</w:t>
        </w:r>
      </w:hyperlink>
      <w:r w:rsidR="00A374B8" w:rsidRPr="00473C38">
        <w:rPr>
          <w:rFonts w:ascii="Times New Roman" w:hAnsi="Times New Roman" w:cs="Times New Roman"/>
        </w:rPr>
        <w:t xml:space="preserve">, </w:t>
      </w:r>
      <w:r w:rsidR="00A374B8" w:rsidRPr="00B01F8E">
        <w:rPr>
          <w:rFonts w:ascii="Times New Roman" w:hAnsi="Times New Roman" w:cs="Times New Roman"/>
        </w:rPr>
        <w:t>March 11, 2024)</w:t>
      </w:r>
      <w:r w:rsidR="00B0609A">
        <w:rPr>
          <w:rFonts w:ascii="Times New Roman" w:hAnsi="Times New Roman" w:cs="Times New Roman"/>
        </w:rPr>
        <w:t>)</w:t>
      </w:r>
      <w:r w:rsidR="00A374B8" w:rsidRPr="00B01F8E">
        <w:rPr>
          <w:rFonts w:ascii="Times New Roman" w:hAnsi="Times New Roman" w:cs="Times New Roman"/>
        </w:rPr>
        <w:t xml:space="preserve"> and is currently developing comments for the current Feb</w:t>
      </w:r>
      <w:r w:rsidR="00F32666">
        <w:rPr>
          <w:rFonts w:ascii="Times New Roman" w:hAnsi="Times New Roman" w:cs="Times New Roman"/>
        </w:rPr>
        <w:t>ruary</w:t>
      </w:r>
      <w:r w:rsidR="00A374B8" w:rsidRPr="00B01F8E">
        <w:rPr>
          <w:rFonts w:ascii="Times New Roman" w:hAnsi="Times New Roman" w:cs="Times New Roman"/>
        </w:rPr>
        <w:t xml:space="preserve"> 24, 2026 proposed rule, </w:t>
      </w:r>
      <w:r w:rsidR="00A374B8" w:rsidRPr="00B01F8E">
        <w:rPr>
          <w:rFonts w:ascii="Times New Roman" w:hAnsi="Times New Roman" w:cs="Times New Roman"/>
          <w:color w:val="1B1B1B"/>
          <w:shd w:val="clear" w:color="auto" w:fill="FFFFFF"/>
        </w:rPr>
        <w:t>the Common Sense Approach to Chemical Accident Prevention rule, </w:t>
      </w:r>
      <w:r w:rsidR="00A374B8" w:rsidRPr="00B01F8E">
        <w:rPr>
          <w:rFonts w:ascii="Times New Roman" w:hAnsi="Times New Roman" w:cs="Times New Roman"/>
        </w:rPr>
        <w:t>(</w:t>
      </w:r>
      <w:r w:rsidR="00A374B8" w:rsidRPr="00B01F8E">
        <w:rPr>
          <w:rFonts w:ascii="Times New Roman" w:eastAsia="Times New Roman" w:hAnsi="Times New Roman" w:cs="Times New Roman"/>
          <w:kern w:val="0"/>
          <w14:ligatures w14:val="none"/>
        </w:rPr>
        <w:t>40 CFR Part 68  [EPA-HQ-OLEM-2025-0313; FRL-5766.8-01-OLEM] RIN 2050-AH37)</w:t>
      </w:r>
      <w:r w:rsidR="0042185F" w:rsidRPr="00B01F8E">
        <w:rPr>
          <w:rFonts w:ascii="Times New Roman" w:hAnsi="Times New Roman" w:cs="Times New Roman"/>
        </w:rPr>
        <w:t xml:space="preserve">. </w:t>
      </w:r>
      <w:r w:rsidR="00B0609A">
        <w:rPr>
          <w:rFonts w:ascii="Times New Roman" w:hAnsi="Times New Roman" w:cs="Times New Roman"/>
        </w:rPr>
        <w:t>U</w:t>
      </w:r>
      <w:r w:rsidR="0042185F" w:rsidRPr="00B01F8E">
        <w:rPr>
          <w:rFonts w:ascii="Times New Roman" w:hAnsi="Times New Roman" w:cs="Times New Roman"/>
        </w:rPr>
        <w:t>nits at AFPM</w:t>
      </w:r>
      <w:r w:rsidR="00B0609A">
        <w:rPr>
          <w:rFonts w:ascii="Times New Roman" w:hAnsi="Times New Roman" w:cs="Times New Roman"/>
        </w:rPr>
        <w:t xml:space="preserve"> member</w:t>
      </w:r>
      <w:r w:rsidR="0042185F" w:rsidRPr="00B01F8E">
        <w:rPr>
          <w:rFonts w:ascii="Times New Roman" w:hAnsi="Times New Roman" w:cs="Times New Roman"/>
        </w:rPr>
        <w:t xml:space="preserve"> sites are also subject RCRA emergency response plans as we</w:t>
      </w:r>
      <w:r w:rsidR="006E5036" w:rsidRPr="00B01F8E">
        <w:rPr>
          <w:rFonts w:ascii="Times New Roman" w:hAnsi="Times New Roman" w:cs="Times New Roman"/>
        </w:rPr>
        <w:t>ll (40 CFR part 264, Subpart D).</w:t>
      </w:r>
      <w:r w:rsidRPr="00B01F8E">
        <w:rPr>
          <w:rFonts w:ascii="Times New Roman" w:hAnsi="Times New Roman" w:cs="Times New Roman"/>
        </w:rPr>
        <w:t xml:space="preserve"> </w:t>
      </w:r>
    </w:p>
    <w:p w14:paraId="2FC8E493" w14:textId="77777777" w:rsidR="00881B28" w:rsidRPr="00B01F8E" w:rsidRDefault="00881B28" w:rsidP="002D4DB9">
      <w:pPr>
        <w:ind w:firstLine="360"/>
        <w:rPr>
          <w:rFonts w:ascii="Times New Roman" w:eastAsia="Times New Roman" w:hAnsi="Times New Roman" w:cs="Times New Roman"/>
          <w:kern w:val="0"/>
          <w14:ligatures w14:val="none"/>
        </w:rPr>
      </w:pPr>
    </w:p>
    <w:p w14:paraId="211366AF" w14:textId="77777777" w:rsidR="00936932" w:rsidRPr="00081C57" w:rsidRDefault="00936932" w:rsidP="00936932">
      <w:pPr>
        <w:pStyle w:val="ListParagraph"/>
        <w:ind w:left="1080"/>
        <w:rPr>
          <w:b/>
          <w:bCs/>
        </w:rPr>
      </w:pPr>
    </w:p>
    <w:p w14:paraId="5EA84E38" w14:textId="1A68AD57" w:rsidR="00081C57" w:rsidRPr="00B01F8E" w:rsidRDefault="00081C57" w:rsidP="00081C57">
      <w:pPr>
        <w:pStyle w:val="ListParagraph"/>
        <w:numPr>
          <w:ilvl w:val="0"/>
          <w:numId w:val="1"/>
        </w:numPr>
        <w:rPr>
          <w:rFonts w:ascii="Times New Roman" w:hAnsi="Times New Roman" w:cs="Times New Roman"/>
          <w:b/>
          <w:bCs/>
          <w:sz w:val="28"/>
          <w:szCs w:val="28"/>
        </w:rPr>
      </w:pPr>
      <w:r w:rsidRPr="00B01F8E">
        <w:rPr>
          <w:rFonts w:ascii="Times New Roman" w:hAnsi="Times New Roman" w:cs="Times New Roman"/>
          <w:b/>
          <w:bCs/>
          <w:sz w:val="28"/>
          <w:szCs w:val="28"/>
        </w:rPr>
        <w:t xml:space="preserve">Support </w:t>
      </w:r>
      <w:r w:rsidR="00EE7C88" w:rsidRPr="00B01F8E">
        <w:rPr>
          <w:rFonts w:ascii="Times New Roman" w:hAnsi="Times New Roman" w:cs="Times New Roman"/>
          <w:b/>
          <w:bCs/>
          <w:sz w:val="28"/>
          <w:szCs w:val="28"/>
        </w:rPr>
        <w:t xml:space="preserve">of Extending the </w:t>
      </w:r>
      <w:r w:rsidRPr="00B01F8E">
        <w:rPr>
          <w:rFonts w:ascii="Times New Roman" w:hAnsi="Times New Roman" w:cs="Times New Roman"/>
          <w:b/>
          <w:bCs/>
          <w:sz w:val="28"/>
          <w:szCs w:val="28"/>
        </w:rPr>
        <w:t xml:space="preserve">Compliance </w:t>
      </w:r>
      <w:r w:rsidR="00EE7C88" w:rsidRPr="00B01F8E">
        <w:rPr>
          <w:rFonts w:ascii="Times New Roman" w:hAnsi="Times New Roman" w:cs="Times New Roman"/>
          <w:b/>
          <w:bCs/>
          <w:sz w:val="28"/>
          <w:szCs w:val="28"/>
        </w:rPr>
        <w:t>Date</w:t>
      </w:r>
    </w:p>
    <w:p w14:paraId="03B37B33" w14:textId="32D88BCF" w:rsidR="00B01F8E" w:rsidRPr="00B01F8E" w:rsidRDefault="00EE7C88" w:rsidP="00B01F8E">
      <w:pPr>
        <w:ind w:firstLine="360"/>
        <w:rPr>
          <w:rFonts w:ascii="Times New Roman" w:hAnsi="Times New Roman" w:cs="Times New Roman"/>
        </w:rPr>
      </w:pPr>
      <w:r w:rsidRPr="00B01F8E">
        <w:rPr>
          <w:rFonts w:ascii="Times New Roman" w:hAnsi="Times New Roman" w:cs="Times New Roman"/>
        </w:rPr>
        <w:t>AFPM a</w:t>
      </w:r>
      <w:r w:rsidR="00081C57" w:rsidRPr="00B01F8E">
        <w:rPr>
          <w:rFonts w:ascii="Times New Roman" w:hAnsi="Times New Roman" w:cs="Times New Roman"/>
        </w:rPr>
        <w:t>ppreciate</w:t>
      </w:r>
      <w:r w:rsidRPr="00B01F8E">
        <w:rPr>
          <w:rFonts w:ascii="Times New Roman" w:hAnsi="Times New Roman" w:cs="Times New Roman"/>
        </w:rPr>
        <w:t xml:space="preserve">s </w:t>
      </w:r>
      <w:r w:rsidR="00B01F8E" w:rsidRPr="00B01F8E">
        <w:rPr>
          <w:rFonts w:ascii="Times New Roman" w:hAnsi="Times New Roman" w:cs="Times New Roman"/>
        </w:rPr>
        <w:t xml:space="preserve">and supports </w:t>
      </w:r>
      <w:r w:rsidRPr="00B01F8E">
        <w:rPr>
          <w:rFonts w:ascii="Times New Roman" w:hAnsi="Times New Roman" w:cs="Times New Roman"/>
        </w:rPr>
        <w:t xml:space="preserve">the proposed </w:t>
      </w:r>
      <w:r w:rsidR="00B0609A">
        <w:rPr>
          <w:rFonts w:ascii="Times New Roman" w:hAnsi="Times New Roman" w:cs="Times New Roman"/>
        </w:rPr>
        <w:t>three</w:t>
      </w:r>
      <w:r w:rsidR="0042185F" w:rsidRPr="00B01F8E">
        <w:rPr>
          <w:rFonts w:ascii="Times New Roman" w:hAnsi="Times New Roman" w:cs="Times New Roman"/>
        </w:rPr>
        <w:t>-year</w:t>
      </w:r>
      <w:r w:rsidR="00081C57" w:rsidRPr="00B01F8E">
        <w:rPr>
          <w:rFonts w:ascii="Times New Roman" w:hAnsi="Times New Roman" w:cs="Times New Roman"/>
        </w:rPr>
        <w:t xml:space="preserve"> extension</w:t>
      </w:r>
      <w:r w:rsidR="00B01F8E" w:rsidRPr="00B01F8E">
        <w:rPr>
          <w:rFonts w:ascii="Times New Roman" w:hAnsi="Times New Roman" w:cs="Times New Roman"/>
        </w:rPr>
        <w:t>,</w:t>
      </w:r>
      <w:r w:rsidR="00081C57" w:rsidRPr="00B01F8E">
        <w:rPr>
          <w:rFonts w:ascii="Times New Roman" w:hAnsi="Times New Roman" w:cs="Times New Roman"/>
        </w:rPr>
        <w:t xml:space="preserve"> </w:t>
      </w:r>
      <w:r w:rsidR="00B01F8E" w:rsidRPr="00B01F8E">
        <w:rPr>
          <w:rFonts w:ascii="Times New Roman" w:hAnsi="Times New Roman" w:cs="Times New Roman"/>
        </w:rPr>
        <w:t xml:space="preserve">however, </w:t>
      </w:r>
      <w:r w:rsidR="00B0609A">
        <w:rPr>
          <w:rFonts w:ascii="Times New Roman" w:hAnsi="Times New Roman" w:cs="Times New Roman"/>
        </w:rPr>
        <w:t xml:space="preserve">at a minimum, </w:t>
      </w:r>
      <w:r w:rsidR="00081C57" w:rsidRPr="00B01F8E">
        <w:rPr>
          <w:rFonts w:ascii="Times New Roman" w:hAnsi="Times New Roman" w:cs="Times New Roman"/>
        </w:rPr>
        <w:t>EPA may need more time</w:t>
      </w:r>
      <w:r w:rsidRPr="00B01F8E">
        <w:rPr>
          <w:rFonts w:ascii="Times New Roman" w:hAnsi="Times New Roman" w:cs="Times New Roman"/>
        </w:rPr>
        <w:t xml:space="preserve"> as EPA </w:t>
      </w:r>
      <w:r w:rsidR="0042185F" w:rsidRPr="00B01F8E">
        <w:rPr>
          <w:rFonts w:ascii="Times New Roman" w:hAnsi="Times New Roman" w:cs="Times New Roman"/>
        </w:rPr>
        <w:t>adjudicates</w:t>
      </w:r>
      <w:r w:rsidRPr="00B01F8E">
        <w:rPr>
          <w:rFonts w:ascii="Times New Roman" w:hAnsi="Times New Roman" w:cs="Times New Roman"/>
        </w:rPr>
        <w:t xml:space="preserve"> comments on the proposed revised rule (</w:t>
      </w:r>
      <w:r w:rsidR="0042185F" w:rsidRPr="00B01F8E">
        <w:rPr>
          <w:rFonts w:ascii="Times New Roman" w:hAnsi="Times New Roman" w:cs="Times New Roman"/>
        </w:rPr>
        <w:t>EPA’s Advance Notice of Proposed Rulemaking — CWA Hazardous Substances Facility Response Plan Requirements; Amendment Reconsideration (Docket ID No. EPA-HQ-OLEM-2025-1707)</w:t>
      </w:r>
      <w:r w:rsidRPr="00B01F8E">
        <w:rPr>
          <w:rFonts w:ascii="Times New Roman" w:hAnsi="Times New Roman" w:cs="Times New Roman"/>
        </w:rPr>
        <w:t xml:space="preserve">, </w:t>
      </w:r>
      <w:r w:rsidR="00B0609A">
        <w:rPr>
          <w:rFonts w:ascii="Times New Roman" w:hAnsi="Times New Roman" w:cs="Times New Roman"/>
        </w:rPr>
        <w:t xml:space="preserve">to </w:t>
      </w:r>
      <w:r w:rsidR="0042185F" w:rsidRPr="00B01F8E">
        <w:rPr>
          <w:rFonts w:ascii="Times New Roman" w:hAnsi="Times New Roman" w:cs="Times New Roman"/>
        </w:rPr>
        <w:t xml:space="preserve">possibly develop </w:t>
      </w:r>
      <w:r w:rsidR="00081C57" w:rsidRPr="00B01F8E">
        <w:rPr>
          <w:rFonts w:ascii="Times New Roman" w:hAnsi="Times New Roman" w:cs="Times New Roman"/>
        </w:rPr>
        <w:t>modeling</w:t>
      </w:r>
      <w:r w:rsidR="0042185F" w:rsidRPr="00B01F8E">
        <w:rPr>
          <w:rFonts w:ascii="Times New Roman" w:hAnsi="Times New Roman" w:cs="Times New Roman"/>
        </w:rPr>
        <w:t xml:space="preserve"> </w:t>
      </w:r>
      <w:r w:rsidR="00081C57" w:rsidRPr="00B01F8E">
        <w:rPr>
          <w:rFonts w:ascii="Times New Roman" w:hAnsi="Times New Roman" w:cs="Times New Roman"/>
        </w:rPr>
        <w:t xml:space="preserve">guidance, and </w:t>
      </w:r>
      <w:r w:rsidR="0042185F" w:rsidRPr="00B01F8E">
        <w:rPr>
          <w:rFonts w:ascii="Times New Roman" w:hAnsi="Times New Roman" w:cs="Times New Roman"/>
        </w:rPr>
        <w:t xml:space="preserve">publish a </w:t>
      </w:r>
      <w:r w:rsidR="00081C57" w:rsidRPr="00B01F8E">
        <w:rPr>
          <w:rFonts w:ascii="Times New Roman" w:hAnsi="Times New Roman" w:cs="Times New Roman"/>
        </w:rPr>
        <w:t>WOTUS final rule</w:t>
      </w:r>
      <w:r w:rsidR="0042185F" w:rsidRPr="00B01F8E">
        <w:rPr>
          <w:rFonts w:ascii="Times New Roman" w:hAnsi="Times New Roman" w:cs="Times New Roman"/>
        </w:rPr>
        <w:t xml:space="preserve">. </w:t>
      </w:r>
    </w:p>
    <w:p w14:paraId="2B3C7A11" w14:textId="7B46C81D" w:rsidR="00B01F8E" w:rsidRPr="004C18E7" w:rsidRDefault="00B01F8E" w:rsidP="00B01F8E">
      <w:pPr>
        <w:ind w:firstLine="720"/>
        <w:rPr>
          <w:rFonts w:ascii="Times New Roman" w:hAnsi="Times New Roman" w:cs="Times New Roman"/>
          <w14:ligatures w14:val="none"/>
        </w:rPr>
      </w:pPr>
      <w:r w:rsidRPr="004C18E7">
        <w:rPr>
          <w:rFonts w:ascii="Times New Roman" w:hAnsi="Times New Roman" w:cs="Times New Roman"/>
          <w14:ligatures w14:val="none"/>
        </w:rPr>
        <w:t xml:space="preserve">AFPM strongly urges EPA to consider a delay or “stay” of the compliance date until the amended rule is finalized and to have the new amended rule include a </w:t>
      </w:r>
      <w:r w:rsidR="00B0609A">
        <w:rPr>
          <w:rFonts w:ascii="Times New Roman" w:hAnsi="Times New Roman" w:cs="Times New Roman"/>
          <w14:ligatures w14:val="none"/>
        </w:rPr>
        <w:t>three</w:t>
      </w:r>
      <w:r w:rsidRPr="004C18E7">
        <w:rPr>
          <w:rFonts w:ascii="Times New Roman" w:hAnsi="Times New Roman" w:cs="Times New Roman"/>
          <w14:ligatures w14:val="none"/>
        </w:rPr>
        <w:t xml:space="preserve">-year compliance date from the date of publication. </w:t>
      </w:r>
    </w:p>
    <w:p w14:paraId="0F029CBE" w14:textId="2C98B32C" w:rsidR="0038103F" w:rsidRPr="006A3150" w:rsidRDefault="00B01F8E" w:rsidP="00B01F8E">
      <w:pPr>
        <w:ind w:firstLine="720"/>
        <w:rPr>
          <w:rFonts w:ascii="Times New Roman" w:hAnsi="Times New Roman" w:cs="Times New Roman"/>
          <w14:ligatures w14:val="none"/>
        </w:rPr>
      </w:pPr>
      <w:r w:rsidRPr="00C87C15">
        <w:rPr>
          <w:rFonts w:ascii="Times New Roman" w:hAnsi="Times New Roman" w:cs="Times New Roman"/>
          <w14:ligatures w14:val="none"/>
        </w:rPr>
        <w:t xml:space="preserve">Three years is consistent for compliance dates for new and amended rules, but </w:t>
      </w:r>
      <w:r w:rsidR="00B0609A">
        <w:rPr>
          <w:rFonts w:ascii="Times New Roman" w:hAnsi="Times New Roman" w:cs="Times New Roman"/>
          <w14:ligatures w14:val="none"/>
        </w:rPr>
        <w:t xml:space="preserve">AFPM </w:t>
      </w:r>
      <w:r w:rsidRPr="00CD49BE">
        <w:rPr>
          <w:rFonts w:ascii="Times New Roman" w:hAnsi="Times New Roman" w:cs="Times New Roman"/>
          <w14:ligatures w14:val="none"/>
        </w:rPr>
        <w:t xml:space="preserve">currently cannot assess whether this will be enough time. EPA is considering amending the current rule, and there is still uncertainty on how to model </w:t>
      </w:r>
      <w:r w:rsidR="002077A2">
        <w:rPr>
          <w:rFonts w:ascii="Times New Roman" w:hAnsi="Times New Roman" w:cs="Times New Roman"/>
          <w14:ligatures w14:val="none"/>
        </w:rPr>
        <w:t>worst-case</w:t>
      </w:r>
      <w:r w:rsidR="00914936">
        <w:rPr>
          <w:rFonts w:ascii="Times New Roman" w:hAnsi="Times New Roman" w:cs="Times New Roman"/>
          <w14:ligatures w14:val="none"/>
        </w:rPr>
        <w:t xml:space="preserve"> dis</w:t>
      </w:r>
      <w:r w:rsidR="00CD49BE">
        <w:rPr>
          <w:rFonts w:ascii="Times New Roman" w:hAnsi="Times New Roman" w:cs="Times New Roman"/>
          <w14:ligatures w14:val="none"/>
        </w:rPr>
        <w:t xml:space="preserve">charges </w:t>
      </w:r>
      <w:r w:rsidR="00E877F7">
        <w:rPr>
          <w:rFonts w:ascii="Times New Roman" w:hAnsi="Times New Roman" w:cs="Times New Roman"/>
          <w14:ligatures w14:val="none"/>
        </w:rPr>
        <w:t>(</w:t>
      </w:r>
      <w:r w:rsidRPr="00CD49BE">
        <w:rPr>
          <w:rFonts w:ascii="Times New Roman" w:hAnsi="Times New Roman" w:cs="Times New Roman"/>
          <w14:ligatures w14:val="none"/>
        </w:rPr>
        <w:t>WCD</w:t>
      </w:r>
      <w:r w:rsidR="00CD49BE">
        <w:rPr>
          <w:rFonts w:ascii="Times New Roman" w:hAnsi="Times New Roman" w:cs="Times New Roman"/>
          <w14:ligatures w14:val="none"/>
        </w:rPr>
        <w:t>s</w:t>
      </w:r>
      <w:r w:rsidR="00E877F7">
        <w:rPr>
          <w:rFonts w:ascii="Times New Roman" w:hAnsi="Times New Roman" w:cs="Times New Roman"/>
          <w14:ligatures w14:val="none"/>
        </w:rPr>
        <w:t>)</w:t>
      </w:r>
      <w:r w:rsidRPr="00CD49BE">
        <w:rPr>
          <w:rFonts w:ascii="Times New Roman" w:hAnsi="Times New Roman" w:cs="Times New Roman"/>
          <w14:ligatures w14:val="none"/>
        </w:rPr>
        <w:t>. The time extension intends to allow time for EPA “to consider implementation and compliance assistance tools that regulated parties may be able to take advantage of when complying with the new requirements”</w:t>
      </w:r>
      <w:r w:rsidR="00D1023D">
        <w:rPr>
          <w:rStyle w:val="FootnoteReference"/>
          <w:rFonts w:ascii="Times New Roman" w:hAnsi="Times New Roman" w:cs="Times New Roman"/>
          <w14:ligatures w14:val="none"/>
        </w:rPr>
        <w:footnoteReference w:id="1"/>
      </w:r>
      <w:r w:rsidRPr="00CD49BE">
        <w:rPr>
          <w:rFonts w:ascii="Times New Roman" w:hAnsi="Times New Roman" w:cs="Times New Roman"/>
          <w14:ligatures w14:val="none"/>
        </w:rPr>
        <w:t xml:space="preserve">.  It could </w:t>
      </w:r>
      <w:r w:rsidRPr="006A3150">
        <w:rPr>
          <w:rFonts w:ascii="Times New Roman" w:hAnsi="Times New Roman" w:cs="Times New Roman"/>
          <w14:ligatures w14:val="none"/>
        </w:rPr>
        <w:t xml:space="preserve">take EPA </w:t>
      </w:r>
      <w:r w:rsidR="00B0609A">
        <w:rPr>
          <w:rFonts w:ascii="Times New Roman" w:hAnsi="Times New Roman" w:cs="Times New Roman"/>
          <w14:ligatures w14:val="none"/>
        </w:rPr>
        <w:t>more than two years</w:t>
      </w:r>
      <w:r w:rsidRPr="006A3150">
        <w:rPr>
          <w:rFonts w:ascii="Times New Roman" w:hAnsi="Times New Roman" w:cs="Times New Roman"/>
          <w14:ligatures w14:val="none"/>
        </w:rPr>
        <w:t xml:space="preserve"> to implement these tools and/or amend the rule, leaving regulated </w:t>
      </w:r>
      <w:r w:rsidR="00B0609A">
        <w:rPr>
          <w:rFonts w:ascii="Times New Roman" w:hAnsi="Times New Roman" w:cs="Times New Roman"/>
          <w14:ligatures w14:val="none"/>
        </w:rPr>
        <w:t xml:space="preserve">parties </w:t>
      </w:r>
      <w:r w:rsidRPr="006A3150">
        <w:rPr>
          <w:rFonts w:ascii="Times New Roman" w:hAnsi="Times New Roman" w:cs="Times New Roman"/>
          <w14:ligatures w14:val="none"/>
        </w:rPr>
        <w:t xml:space="preserve">little time to develop </w:t>
      </w:r>
      <w:r w:rsidR="00B0609A">
        <w:rPr>
          <w:rFonts w:ascii="Times New Roman" w:hAnsi="Times New Roman" w:cs="Times New Roman"/>
          <w14:ligatures w14:val="none"/>
        </w:rPr>
        <w:t>an implementation plan to</w:t>
      </w:r>
      <w:r w:rsidRPr="006A3150">
        <w:rPr>
          <w:rFonts w:ascii="Times New Roman" w:hAnsi="Times New Roman" w:cs="Times New Roman"/>
          <w14:ligatures w14:val="none"/>
        </w:rPr>
        <w:t xml:space="preserve"> comply with the new requirements.</w:t>
      </w:r>
      <w:r w:rsidR="00B0609A">
        <w:rPr>
          <w:rFonts w:ascii="Times New Roman" w:hAnsi="Times New Roman" w:cs="Times New Roman"/>
          <w14:ligatures w14:val="none"/>
        </w:rPr>
        <w:t xml:space="preserve"> </w:t>
      </w:r>
      <w:r w:rsidRPr="006A3150">
        <w:rPr>
          <w:rFonts w:ascii="Times New Roman" w:hAnsi="Times New Roman" w:cs="Times New Roman"/>
          <w14:ligatures w14:val="none"/>
        </w:rPr>
        <w:t xml:space="preserve">Therefore, AFPM recommends that EPA </w:t>
      </w:r>
      <w:r w:rsidR="00B0609A" w:rsidRPr="00B0609A">
        <w:rPr>
          <w:rFonts w:ascii="Times New Roman" w:hAnsi="Times New Roman" w:cs="Times New Roman"/>
          <w14:ligatures w14:val="none"/>
        </w:rPr>
        <w:t>provides</w:t>
      </w:r>
      <w:r w:rsidRPr="004C18E7">
        <w:rPr>
          <w:rFonts w:ascii="Times New Roman" w:hAnsi="Times New Roman" w:cs="Times New Roman"/>
          <w14:ligatures w14:val="none"/>
        </w:rPr>
        <w:t xml:space="preserve"> at least a </w:t>
      </w:r>
      <w:r w:rsidR="00B0609A">
        <w:rPr>
          <w:rFonts w:ascii="Times New Roman" w:hAnsi="Times New Roman" w:cs="Times New Roman"/>
          <w14:ligatures w14:val="none"/>
        </w:rPr>
        <w:t>five</w:t>
      </w:r>
      <w:r w:rsidRPr="006A3150">
        <w:rPr>
          <w:rFonts w:ascii="Times New Roman" w:hAnsi="Times New Roman" w:cs="Times New Roman"/>
          <w14:ligatures w14:val="none"/>
        </w:rPr>
        <w:t>-year compliance date extension.</w:t>
      </w:r>
    </w:p>
    <w:p w14:paraId="1BA78C5F" w14:textId="1C3CDFCF" w:rsidR="00081C57" w:rsidRPr="00B01F8E" w:rsidRDefault="0042185F" w:rsidP="00A45E1C">
      <w:pPr>
        <w:jc w:val="both"/>
        <w:rPr>
          <w:rFonts w:ascii="Times New Roman" w:hAnsi="Times New Roman" w:cs="Times New Roman"/>
        </w:rPr>
      </w:pPr>
      <w:r w:rsidRPr="00B01F8E">
        <w:rPr>
          <w:rFonts w:ascii="Times New Roman" w:hAnsi="Times New Roman" w:cs="Times New Roman"/>
        </w:rPr>
        <w:t xml:space="preserve"> </w:t>
      </w:r>
      <w:r w:rsidR="00B01F8E" w:rsidRPr="00B01F8E">
        <w:rPr>
          <w:rFonts w:ascii="Times New Roman" w:hAnsi="Times New Roman" w:cs="Times New Roman"/>
        </w:rPr>
        <w:tab/>
      </w:r>
      <w:r w:rsidR="0038103F" w:rsidRPr="00B01F8E">
        <w:rPr>
          <w:rFonts w:ascii="Times New Roman" w:eastAsia="Times New Roman" w:hAnsi="Times New Roman" w:cs="Times New Roman"/>
          <w:kern w:val="0"/>
          <w14:ligatures w14:val="none"/>
        </w:rPr>
        <w:t>AFPM’s overarching position is that the 2024 final rule significantly overreached EPA’s statutory mandate by casting an unnecessarily wide regulatory net</w:t>
      </w:r>
      <w:r w:rsidR="00B0609A">
        <w:rPr>
          <w:rFonts w:ascii="Times New Roman" w:eastAsia="Times New Roman" w:hAnsi="Times New Roman" w:cs="Times New Roman"/>
          <w:kern w:val="0"/>
          <w14:ligatures w14:val="none"/>
        </w:rPr>
        <w:t xml:space="preserve"> </w:t>
      </w:r>
      <w:r w:rsidR="0038103F" w:rsidRPr="00B01F8E">
        <w:rPr>
          <w:rFonts w:ascii="Times New Roman" w:eastAsia="Times New Roman" w:hAnsi="Times New Roman" w:cs="Times New Roman"/>
          <w:kern w:val="0"/>
          <w14:ligatures w14:val="none"/>
        </w:rPr>
        <w:t>—</w:t>
      </w:r>
      <w:r w:rsidR="00B0609A">
        <w:rPr>
          <w:rFonts w:ascii="Times New Roman" w:eastAsia="Times New Roman" w:hAnsi="Times New Roman" w:cs="Times New Roman"/>
          <w:kern w:val="0"/>
          <w14:ligatures w14:val="none"/>
        </w:rPr>
        <w:t xml:space="preserve"> </w:t>
      </w:r>
      <w:r w:rsidR="0038103F" w:rsidRPr="00B01F8E">
        <w:rPr>
          <w:rFonts w:ascii="Times New Roman" w:eastAsia="Times New Roman" w:hAnsi="Times New Roman" w:cs="Times New Roman"/>
          <w:kern w:val="0"/>
          <w14:ligatures w14:val="none"/>
        </w:rPr>
        <w:t xml:space="preserve">capturing facilities with robust, pre-existing spill prevention programs and negligible actual discharge risk to navigable waters — while doing little to improve real-world emergency preparedness. </w:t>
      </w:r>
    </w:p>
    <w:p w14:paraId="08741143" w14:textId="6CF6E265" w:rsidR="00081C57" w:rsidRPr="00B01F8E" w:rsidRDefault="0042185F" w:rsidP="00B01F8E">
      <w:pPr>
        <w:ind w:firstLine="720"/>
        <w:rPr>
          <w:rFonts w:ascii="Times New Roman" w:hAnsi="Times New Roman" w:cs="Times New Roman"/>
        </w:rPr>
      </w:pPr>
      <w:r w:rsidRPr="00B01F8E">
        <w:rPr>
          <w:rFonts w:ascii="Times New Roman" w:hAnsi="Times New Roman" w:cs="Times New Roman"/>
        </w:rPr>
        <w:t xml:space="preserve">Based on the contents of the revised proposed rule, it is clear that the </w:t>
      </w:r>
      <w:r w:rsidR="00081C57" w:rsidRPr="00B01F8E">
        <w:rPr>
          <w:rFonts w:ascii="Times New Roman" w:hAnsi="Times New Roman" w:cs="Times New Roman"/>
        </w:rPr>
        <w:t>scope of rule will change</w:t>
      </w:r>
      <w:r w:rsidR="00B0609A">
        <w:rPr>
          <w:rFonts w:ascii="Times New Roman" w:hAnsi="Times New Roman" w:cs="Times New Roman"/>
        </w:rPr>
        <w:t>,</w:t>
      </w:r>
      <w:r w:rsidRPr="00B01F8E">
        <w:rPr>
          <w:rFonts w:ascii="Times New Roman" w:hAnsi="Times New Roman" w:cs="Times New Roman"/>
        </w:rPr>
        <w:t xml:space="preserve"> and </w:t>
      </w:r>
      <w:r w:rsidR="006E5036" w:rsidRPr="00B01F8E">
        <w:rPr>
          <w:rFonts w:ascii="Times New Roman" w:hAnsi="Times New Roman" w:cs="Times New Roman"/>
        </w:rPr>
        <w:t>AFPM members are</w:t>
      </w:r>
      <w:r w:rsidRPr="00B01F8E">
        <w:rPr>
          <w:rFonts w:ascii="Times New Roman" w:hAnsi="Times New Roman" w:cs="Times New Roman"/>
        </w:rPr>
        <w:t xml:space="preserve"> currently </w:t>
      </w:r>
      <w:r w:rsidR="00081C57" w:rsidRPr="00B01F8E">
        <w:rPr>
          <w:rFonts w:ascii="Times New Roman" w:hAnsi="Times New Roman" w:cs="Times New Roman"/>
        </w:rPr>
        <w:t xml:space="preserve">in a holding pattern until </w:t>
      </w:r>
      <w:r w:rsidR="00B0609A">
        <w:rPr>
          <w:rFonts w:ascii="Times New Roman" w:hAnsi="Times New Roman" w:cs="Times New Roman"/>
        </w:rPr>
        <w:t xml:space="preserve">there is </w:t>
      </w:r>
      <w:r w:rsidR="00081C57" w:rsidRPr="00B01F8E">
        <w:rPr>
          <w:rFonts w:ascii="Times New Roman" w:hAnsi="Times New Roman" w:cs="Times New Roman"/>
        </w:rPr>
        <w:t xml:space="preserve">something actionable, </w:t>
      </w:r>
      <w:r w:rsidRPr="00B01F8E">
        <w:rPr>
          <w:rFonts w:ascii="Times New Roman" w:hAnsi="Times New Roman" w:cs="Times New Roman"/>
        </w:rPr>
        <w:t>rather than wast</w:t>
      </w:r>
      <w:r w:rsidR="00B0609A">
        <w:rPr>
          <w:rFonts w:ascii="Times New Roman" w:hAnsi="Times New Roman" w:cs="Times New Roman"/>
        </w:rPr>
        <w:t>ing</w:t>
      </w:r>
      <w:r w:rsidRPr="00B01F8E">
        <w:rPr>
          <w:rFonts w:ascii="Times New Roman" w:hAnsi="Times New Roman" w:cs="Times New Roman"/>
        </w:rPr>
        <w:t xml:space="preserve"> time and resources trying to comply with a final rule that </w:t>
      </w:r>
      <w:r w:rsidR="00B0609A">
        <w:rPr>
          <w:rFonts w:ascii="Times New Roman" w:hAnsi="Times New Roman" w:cs="Times New Roman"/>
        </w:rPr>
        <w:t xml:space="preserve">is likely to </w:t>
      </w:r>
      <w:r w:rsidRPr="00B01F8E">
        <w:rPr>
          <w:rFonts w:ascii="Times New Roman" w:hAnsi="Times New Roman" w:cs="Times New Roman"/>
        </w:rPr>
        <w:t xml:space="preserve">be revised. </w:t>
      </w:r>
      <w:r w:rsidR="006E5036" w:rsidRPr="00B01F8E">
        <w:rPr>
          <w:rFonts w:ascii="Times New Roman" w:hAnsi="Times New Roman" w:cs="Times New Roman"/>
        </w:rPr>
        <w:t>Once provisions of the revised rule</w:t>
      </w:r>
      <w:r w:rsidR="007A562B">
        <w:rPr>
          <w:rFonts w:ascii="Times New Roman" w:hAnsi="Times New Roman" w:cs="Times New Roman"/>
        </w:rPr>
        <w:t xml:space="preserve"> are released</w:t>
      </w:r>
      <w:r w:rsidR="006E5036" w:rsidRPr="00B01F8E">
        <w:rPr>
          <w:rFonts w:ascii="Times New Roman" w:hAnsi="Times New Roman" w:cs="Times New Roman"/>
        </w:rPr>
        <w:t>, s</w:t>
      </w:r>
      <w:r w:rsidR="00081C57" w:rsidRPr="00B01F8E">
        <w:rPr>
          <w:rFonts w:ascii="Times New Roman" w:hAnsi="Times New Roman" w:cs="Times New Roman"/>
        </w:rPr>
        <w:t xml:space="preserve">ites will have to reevaluate any initial assessments that have already been </w:t>
      </w:r>
      <w:r w:rsidR="007A562B">
        <w:rPr>
          <w:rFonts w:ascii="Times New Roman" w:hAnsi="Times New Roman" w:cs="Times New Roman"/>
        </w:rPr>
        <w:t>completed</w:t>
      </w:r>
      <w:r w:rsidR="006E5036" w:rsidRPr="00B01F8E">
        <w:rPr>
          <w:rFonts w:ascii="Times New Roman" w:hAnsi="Times New Roman" w:cs="Times New Roman"/>
        </w:rPr>
        <w:t>. Currently</w:t>
      </w:r>
      <w:r w:rsidR="007A562B">
        <w:rPr>
          <w:rFonts w:ascii="Times New Roman" w:hAnsi="Times New Roman" w:cs="Times New Roman"/>
        </w:rPr>
        <w:t>,</w:t>
      </w:r>
      <w:r w:rsidR="006E5036" w:rsidRPr="00B01F8E">
        <w:rPr>
          <w:rFonts w:ascii="Times New Roman" w:hAnsi="Times New Roman" w:cs="Times New Roman"/>
        </w:rPr>
        <w:t xml:space="preserve"> without clarity on certain terms, scope</w:t>
      </w:r>
      <w:r w:rsidR="007A562B">
        <w:rPr>
          <w:rFonts w:ascii="Times New Roman" w:hAnsi="Times New Roman" w:cs="Times New Roman"/>
        </w:rPr>
        <w:t>,</w:t>
      </w:r>
      <w:r w:rsidR="006E5036" w:rsidRPr="00B01F8E">
        <w:rPr>
          <w:rFonts w:ascii="Times New Roman" w:hAnsi="Times New Roman" w:cs="Times New Roman"/>
        </w:rPr>
        <w:t xml:space="preserve"> and modeling</w:t>
      </w:r>
      <w:r w:rsidR="007A562B">
        <w:rPr>
          <w:rFonts w:ascii="Times New Roman" w:hAnsi="Times New Roman" w:cs="Times New Roman"/>
        </w:rPr>
        <w:t>,</w:t>
      </w:r>
      <w:r w:rsidR="006E5036" w:rsidRPr="00B01F8E">
        <w:rPr>
          <w:rFonts w:ascii="Times New Roman" w:hAnsi="Times New Roman" w:cs="Times New Roman"/>
        </w:rPr>
        <w:t xml:space="preserve"> AFPM members</w:t>
      </w:r>
      <w:r w:rsidR="00081C57" w:rsidRPr="00B01F8E">
        <w:rPr>
          <w:rFonts w:ascii="Times New Roman" w:hAnsi="Times New Roman" w:cs="Times New Roman"/>
        </w:rPr>
        <w:t xml:space="preserve"> hesitat</w:t>
      </w:r>
      <w:r w:rsidR="006E5036" w:rsidRPr="00B01F8E">
        <w:rPr>
          <w:rFonts w:ascii="Times New Roman" w:hAnsi="Times New Roman" w:cs="Times New Roman"/>
        </w:rPr>
        <w:t>e</w:t>
      </w:r>
      <w:r w:rsidR="00081C57" w:rsidRPr="00B01F8E">
        <w:rPr>
          <w:rFonts w:ascii="Times New Roman" w:hAnsi="Times New Roman" w:cs="Times New Roman"/>
        </w:rPr>
        <w:t xml:space="preserve"> to </w:t>
      </w:r>
      <w:r w:rsidR="006E5036" w:rsidRPr="00B01F8E">
        <w:rPr>
          <w:rFonts w:ascii="Times New Roman" w:hAnsi="Times New Roman" w:cs="Times New Roman"/>
        </w:rPr>
        <w:t xml:space="preserve">pursue </w:t>
      </w:r>
      <w:r w:rsidR="00A45E1C" w:rsidRPr="00B01F8E">
        <w:rPr>
          <w:rFonts w:ascii="Times New Roman" w:hAnsi="Times New Roman" w:cs="Times New Roman"/>
        </w:rPr>
        <w:t>further</w:t>
      </w:r>
      <w:r w:rsidR="006E5036" w:rsidRPr="00B01F8E">
        <w:rPr>
          <w:rFonts w:ascii="Times New Roman" w:hAnsi="Times New Roman" w:cs="Times New Roman"/>
        </w:rPr>
        <w:t xml:space="preserve"> compliance projects on a rule that is </w:t>
      </w:r>
      <w:r w:rsidR="007A562B">
        <w:rPr>
          <w:rFonts w:ascii="Times New Roman" w:hAnsi="Times New Roman" w:cs="Times New Roman"/>
        </w:rPr>
        <w:t xml:space="preserve">still in the process of </w:t>
      </w:r>
      <w:r w:rsidR="006E5036" w:rsidRPr="00B01F8E">
        <w:rPr>
          <w:rFonts w:ascii="Times New Roman" w:hAnsi="Times New Roman" w:cs="Times New Roman"/>
        </w:rPr>
        <w:t xml:space="preserve">being revised. </w:t>
      </w:r>
    </w:p>
    <w:p w14:paraId="2C159CB0" w14:textId="1924D309" w:rsidR="00081C57" w:rsidRPr="00B01F8E" w:rsidRDefault="00081C57" w:rsidP="0038103F">
      <w:pPr>
        <w:pStyle w:val="ListParagraph"/>
        <w:numPr>
          <w:ilvl w:val="0"/>
          <w:numId w:val="1"/>
        </w:numPr>
        <w:rPr>
          <w:rFonts w:ascii="Times New Roman" w:hAnsi="Times New Roman" w:cs="Times New Roman"/>
          <w:sz w:val="28"/>
          <w:szCs w:val="28"/>
        </w:rPr>
      </w:pPr>
      <w:r w:rsidRPr="00B01F8E">
        <w:rPr>
          <w:rFonts w:ascii="Times New Roman" w:hAnsi="Times New Roman" w:cs="Times New Roman"/>
          <w:b/>
          <w:bCs/>
          <w:sz w:val="28"/>
          <w:szCs w:val="28"/>
        </w:rPr>
        <w:t xml:space="preserve">Issues </w:t>
      </w:r>
      <w:r w:rsidR="007A562B">
        <w:rPr>
          <w:rFonts w:ascii="Times New Roman" w:hAnsi="Times New Roman" w:cs="Times New Roman"/>
          <w:b/>
          <w:bCs/>
          <w:sz w:val="28"/>
          <w:szCs w:val="28"/>
        </w:rPr>
        <w:t>T</w:t>
      </w:r>
      <w:r w:rsidR="0038103F" w:rsidRPr="00B01F8E">
        <w:rPr>
          <w:rFonts w:ascii="Times New Roman" w:hAnsi="Times New Roman" w:cs="Times New Roman"/>
          <w:b/>
          <w:bCs/>
          <w:sz w:val="28"/>
          <w:szCs w:val="28"/>
        </w:rPr>
        <w:t xml:space="preserve">hat Must be Resolved </w:t>
      </w:r>
      <w:r w:rsidR="007A562B">
        <w:rPr>
          <w:rFonts w:ascii="Times New Roman" w:hAnsi="Times New Roman" w:cs="Times New Roman"/>
          <w:b/>
          <w:bCs/>
          <w:sz w:val="28"/>
          <w:szCs w:val="28"/>
        </w:rPr>
        <w:t>P</w:t>
      </w:r>
      <w:r w:rsidR="0038103F" w:rsidRPr="00B01F8E">
        <w:rPr>
          <w:rFonts w:ascii="Times New Roman" w:hAnsi="Times New Roman" w:cs="Times New Roman"/>
          <w:b/>
          <w:bCs/>
          <w:sz w:val="28"/>
          <w:szCs w:val="28"/>
        </w:rPr>
        <w:t xml:space="preserve">rior to a </w:t>
      </w:r>
      <w:r w:rsidR="007A562B">
        <w:rPr>
          <w:rFonts w:ascii="Times New Roman" w:hAnsi="Times New Roman" w:cs="Times New Roman"/>
          <w:b/>
          <w:bCs/>
          <w:sz w:val="28"/>
          <w:szCs w:val="28"/>
        </w:rPr>
        <w:t>N</w:t>
      </w:r>
      <w:r w:rsidR="0038103F" w:rsidRPr="00B01F8E">
        <w:rPr>
          <w:rFonts w:ascii="Times New Roman" w:hAnsi="Times New Roman" w:cs="Times New Roman"/>
          <w:b/>
          <w:bCs/>
          <w:sz w:val="28"/>
          <w:szCs w:val="28"/>
        </w:rPr>
        <w:t>ew Final Rule</w:t>
      </w:r>
    </w:p>
    <w:p w14:paraId="26142FE8" w14:textId="217C40E1" w:rsidR="00A45E1C" w:rsidRPr="00B01F8E" w:rsidRDefault="00A45E1C" w:rsidP="00B01F8E">
      <w:pPr>
        <w:ind w:firstLine="360"/>
        <w:rPr>
          <w:rFonts w:ascii="Times New Roman" w:hAnsi="Times New Roman" w:cs="Times New Roman"/>
        </w:rPr>
      </w:pPr>
      <w:r w:rsidRPr="00B01F8E">
        <w:rPr>
          <w:rFonts w:ascii="Times New Roman" w:hAnsi="Times New Roman" w:cs="Times New Roman"/>
        </w:rPr>
        <w:t>The following are a list of issues that must be addressed in some manner in the revised rule and clearly justifies EPA extending the compliance date to at least June 1, 2030.</w:t>
      </w:r>
    </w:p>
    <w:p w14:paraId="6F7EA9A0"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lastRenderedPageBreak/>
        <w:t>Restore the 10,000× RQ threshold</w:t>
      </w:r>
      <w:r w:rsidRPr="00A45E1C">
        <w:rPr>
          <w:rFonts w:ascii="Times New Roman" w:eastAsia="Times New Roman" w:hAnsi="Times New Roman" w:cs="Times New Roman"/>
          <w:kern w:val="0"/>
          <w14:ligatures w14:val="none"/>
        </w:rPr>
        <w:t xml:space="preserve"> — the 2024 rule’s 1,000× multiplier sweeps in thousands of facilities with no meaningful discharge risk beyond what existing programs already address.</w:t>
      </w:r>
    </w:p>
    <w:p w14:paraId="693E50DD"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t>Data supports a smaller regulated universe</w:t>
      </w:r>
      <w:r w:rsidRPr="00A45E1C">
        <w:rPr>
          <w:rFonts w:ascii="Times New Roman" w:eastAsia="Times New Roman" w:hAnsi="Times New Roman" w:cs="Times New Roman"/>
          <w:kern w:val="0"/>
          <w14:ligatures w14:val="none"/>
        </w:rPr>
        <w:t xml:space="preserve"> — NRC incident data (2020–2025) shows only ~1.6% of reported incidents involving a CERCLA substance actually reached a water body.</w:t>
      </w:r>
    </w:p>
    <w:p w14:paraId="16B1244D"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t>Eliminate the “conveyance” proximity pathway</w:t>
      </w:r>
      <w:r w:rsidRPr="00A45E1C">
        <w:rPr>
          <w:rFonts w:ascii="Times New Roman" w:eastAsia="Times New Roman" w:hAnsi="Times New Roman" w:cs="Times New Roman"/>
          <w:kern w:val="0"/>
          <w14:ligatures w14:val="none"/>
        </w:rPr>
        <w:t xml:space="preserve"> — the undefined term creates legal ambiguity; proximity should be measured solely by direct distance to navigable waters.</w:t>
      </w:r>
    </w:p>
    <w:p w14:paraId="24CA54AC"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t>Establish de minimis container size and concentration exclusions</w:t>
      </w:r>
      <w:r w:rsidRPr="00A45E1C">
        <w:rPr>
          <w:rFonts w:ascii="Times New Roman" w:eastAsia="Times New Roman" w:hAnsi="Times New Roman" w:cs="Times New Roman"/>
          <w:kern w:val="0"/>
          <w14:ligatures w14:val="none"/>
        </w:rPr>
        <w:t xml:space="preserve"> — sub-55-gallon containers and low-concentration mixtures (below 1% by weight, or 0.1% for carcinogens) should be excluded from threshold calculations.</w:t>
      </w:r>
    </w:p>
    <w:p w14:paraId="011F14E4"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t>Exclude gaseous and solid-state substances</w:t>
      </w:r>
      <w:r w:rsidRPr="00A45E1C">
        <w:rPr>
          <w:rFonts w:ascii="Times New Roman" w:eastAsia="Times New Roman" w:hAnsi="Times New Roman" w:cs="Times New Roman"/>
          <w:kern w:val="0"/>
          <w14:ligatures w14:val="none"/>
        </w:rPr>
        <w:t xml:space="preserve"> — worst-case releases of such substances are atmospheric events already governed by RMP/PSM.</w:t>
      </w:r>
    </w:p>
    <w:p w14:paraId="20713078"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t>Establish de minimis concentration thresholds for</w:t>
      </w:r>
      <w:r w:rsidRPr="00A45E1C">
        <w:rPr>
          <w:rFonts w:ascii="Times New Roman" w:eastAsia="Times New Roman" w:hAnsi="Times New Roman" w:cs="Times New Roman"/>
          <w:kern w:val="0"/>
          <w14:ligatures w14:val="none"/>
        </w:rPr>
        <w:t xml:space="preserve"> </w:t>
      </w:r>
      <w:r w:rsidRPr="00A45E1C">
        <w:rPr>
          <w:rFonts w:ascii="Times New Roman" w:eastAsia="Times New Roman" w:hAnsi="Times New Roman" w:cs="Times New Roman"/>
          <w:b/>
          <w:bCs/>
          <w:kern w:val="0"/>
          <w14:ligatures w14:val="none"/>
        </w:rPr>
        <w:t>mixtures</w:t>
      </w:r>
      <w:r w:rsidRPr="00A45E1C">
        <w:rPr>
          <w:rFonts w:ascii="Times New Roman" w:eastAsia="Times New Roman" w:hAnsi="Times New Roman" w:cs="Times New Roman"/>
          <w:kern w:val="0"/>
          <w14:ligatures w14:val="none"/>
        </w:rPr>
        <w:t xml:space="preserve"> — exclude constituents below 1% by weight (0.1% for carcinogens) from threshold quantity calculations, consistent with the EPCRA Section 312 framework, with a rebuttal mechanism for unknown mixture compositions.</w:t>
      </w:r>
    </w:p>
    <w:p w14:paraId="315D2391"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t>Fully exclude CWA HS in oils already regulated under 40 CFR Part 112</w:t>
      </w:r>
      <w:r w:rsidRPr="00A45E1C">
        <w:rPr>
          <w:rFonts w:ascii="Times New Roman" w:eastAsia="Times New Roman" w:hAnsi="Times New Roman" w:cs="Times New Roman"/>
          <w:kern w:val="0"/>
          <w14:ligatures w14:val="none"/>
        </w:rPr>
        <w:t xml:space="preserve"> — trace CWA HS constituents in crude oil, refined products, condensates, and produced water covered by an existing Oil FRP should be categorically excluded from CWA HS FRP threshold calculations.​​​​​​​​​​​​​​​​</w:t>
      </w:r>
    </w:p>
    <w:p w14:paraId="5D2A4AF4"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t>Broaden water treatment chemical exemptions</w:t>
      </w:r>
      <w:r w:rsidRPr="00A45E1C">
        <w:rPr>
          <w:rFonts w:ascii="Times New Roman" w:eastAsia="Times New Roman" w:hAnsi="Times New Roman" w:cs="Times New Roman"/>
          <w:kern w:val="0"/>
          <w14:ligatures w14:val="none"/>
        </w:rPr>
        <w:t xml:space="preserve"> — all water systems at a facility (drinking, fire, stormwater, wastewater) should be exempt.</w:t>
      </w:r>
    </w:p>
    <w:p w14:paraId="3A8A4998"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t>Simplify planning distance calculations</w:t>
      </w:r>
      <w:r w:rsidRPr="00A45E1C">
        <w:rPr>
          <w:rFonts w:ascii="Times New Roman" w:eastAsia="Times New Roman" w:hAnsi="Times New Roman" w:cs="Times New Roman"/>
          <w:kern w:val="0"/>
          <w14:ligatures w14:val="none"/>
        </w:rPr>
        <w:t xml:space="preserve"> — adopt the standardized Oil FRP distance methodology from 40 CFR Part 112, Appendix C, until EPA provides a validated, publicly available modeling tool.</w:t>
      </w:r>
    </w:p>
    <w:p w14:paraId="6636315F"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t>Align FRP content requirements with existing programs</w:t>
      </w:r>
      <w:r w:rsidRPr="00A45E1C">
        <w:rPr>
          <w:rFonts w:ascii="Times New Roman" w:eastAsia="Times New Roman" w:hAnsi="Times New Roman" w:cs="Times New Roman"/>
          <w:kern w:val="0"/>
          <w14:ligatures w14:val="none"/>
        </w:rPr>
        <w:t xml:space="preserve"> — where CWA HS FRP requirements are substantively equivalent to Oil FRP, SPCC, RMP, or PSM obligations, EPA should accept compliance with those programs as satisfying the CWA HS requirement.</w:t>
      </w:r>
    </w:p>
    <w:p w14:paraId="4810EB98" w14:textId="77777777" w:rsidR="00A45E1C" w:rsidRPr="00A45E1C" w:rsidRDefault="00A45E1C" w:rsidP="00A45E1C">
      <w:pPr>
        <w:numPr>
          <w:ilvl w:val="0"/>
          <w:numId w:val="2"/>
        </w:numPr>
        <w:spacing w:after="100" w:line="240" w:lineRule="auto"/>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b/>
          <w:bCs/>
          <w:kern w:val="0"/>
          <w14:ligatures w14:val="none"/>
        </w:rPr>
        <w:t>Provide compliance tools before compliance deadlines</w:t>
      </w:r>
      <w:r w:rsidRPr="00A45E1C">
        <w:rPr>
          <w:rFonts w:ascii="Times New Roman" w:eastAsia="Times New Roman" w:hAnsi="Times New Roman" w:cs="Times New Roman"/>
          <w:kern w:val="0"/>
          <w14:ligatures w14:val="none"/>
        </w:rPr>
        <w:t xml:space="preserve"> — EPA should publish all required planning tools and guidance first, then allow a minimum 12-month implementation period.</w:t>
      </w:r>
    </w:p>
    <w:p w14:paraId="1E334AD4" w14:textId="6FC36CC6" w:rsidR="00081C57" w:rsidRDefault="00A45E1C" w:rsidP="00081C57">
      <w:pPr>
        <w:numPr>
          <w:ilvl w:val="0"/>
          <w:numId w:val="2"/>
        </w:numPr>
        <w:spacing w:after="100" w:line="240" w:lineRule="auto"/>
        <w:jc w:val="both"/>
      </w:pPr>
      <w:r w:rsidRPr="00A45E1C">
        <w:rPr>
          <w:rFonts w:ascii="Times New Roman" w:eastAsia="Times New Roman" w:hAnsi="Times New Roman" w:cs="Times New Roman"/>
          <w:b/>
          <w:bCs/>
          <w:kern w:val="0"/>
          <w14:ligatures w14:val="none"/>
        </w:rPr>
        <w:t>Remove Regional Administrator discretionary designation authority</w:t>
      </w:r>
      <w:r w:rsidRPr="00A45E1C">
        <w:rPr>
          <w:rFonts w:ascii="Times New Roman" w:eastAsia="Times New Roman" w:hAnsi="Times New Roman" w:cs="Times New Roman"/>
          <w:kern w:val="0"/>
          <w14:ligatures w14:val="none"/>
        </w:rPr>
        <w:t xml:space="preserve"> — FRP applicability should be determined solely by objective statutory criteria.</w:t>
      </w:r>
    </w:p>
    <w:p w14:paraId="69A2598B" w14:textId="77777777" w:rsidR="00A45E1C" w:rsidRPr="00A45E1C" w:rsidRDefault="00A45E1C" w:rsidP="00B01F8E">
      <w:pPr>
        <w:spacing w:after="100" w:line="240" w:lineRule="auto"/>
        <w:ind w:left="720"/>
        <w:jc w:val="both"/>
      </w:pPr>
    </w:p>
    <w:p w14:paraId="1C37BF38" w14:textId="69089EA2" w:rsidR="00081C57" w:rsidRPr="00B01F8E" w:rsidRDefault="00081C57" w:rsidP="00081C57">
      <w:pPr>
        <w:rPr>
          <w:rFonts w:ascii="Times New Roman" w:hAnsi="Times New Roman" w:cs="Times New Roman"/>
          <w:b/>
          <w:bCs/>
          <w:sz w:val="28"/>
          <w:szCs w:val="28"/>
        </w:rPr>
      </w:pPr>
      <w:r w:rsidRPr="00B01F8E">
        <w:rPr>
          <w:rFonts w:ascii="Times New Roman" w:hAnsi="Times New Roman" w:cs="Times New Roman"/>
          <w:b/>
          <w:bCs/>
          <w:sz w:val="28"/>
          <w:szCs w:val="28"/>
        </w:rPr>
        <w:t xml:space="preserve">IV. </w:t>
      </w:r>
      <w:r w:rsidR="00B01F8E" w:rsidRPr="00B01F8E">
        <w:rPr>
          <w:rFonts w:ascii="Times New Roman" w:hAnsi="Times New Roman" w:cs="Times New Roman"/>
          <w:b/>
          <w:bCs/>
          <w:sz w:val="28"/>
          <w:szCs w:val="28"/>
        </w:rPr>
        <w:tab/>
      </w:r>
      <w:r w:rsidRPr="00B01F8E">
        <w:rPr>
          <w:rFonts w:ascii="Times New Roman" w:hAnsi="Times New Roman" w:cs="Times New Roman"/>
          <w:b/>
          <w:bCs/>
          <w:sz w:val="28"/>
          <w:szCs w:val="28"/>
        </w:rPr>
        <w:t>Conclusion</w:t>
      </w:r>
    </w:p>
    <w:p w14:paraId="460B7820" w14:textId="67CDD6E6" w:rsidR="00A45E1C" w:rsidRPr="00A45E1C" w:rsidRDefault="00A45E1C" w:rsidP="00A45E1C">
      <w:pPr>
        <w:spacing w:line="240" w:lineRule="auto"/>
        <w:ind w:firstLine="720"/>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kern w:val="0"/>
          <w14:ligatures w14:val="none"/>
        </w:rPr>
        <w:t>AFPM urges EPA to use this extended compliance time to recalibrate the scope of regulated facilities to those that present a genuine worst-case discharge risk to navigable waters, eliminate duplicative compliance obligations, and deliver a rule that directs planning resources to facilities where those investments will produce demonstrable environmental benefit.</w:t>
      </w:r>
    </w:p>
    <w:p w14:paraId="1C195226" w14:textId="4E5A4219" w:rsidR="00081C57" w:rsidRDefault="00A45E1C" w:rsidP="00A45E1C">
      <w:pPr>
        <w:spacing w:line="240" w:lineRule="auto"/>
        <w:ind w:firstLine="720"/>
        <w:jc w:val="both"/>
        <w:rPr>
          <w:rFonts w:ascii="Times New Roman" w:eastAsia="Times New Roman" w:hAnsi="Times New Roman" w:cs="Times New Roman"/>
          <w:kern w:val="0"/>
          <w14:ligatures w14:val="none"/>
        </w:rPr>
      </w:pPr>
      <w:r w:rsidRPr="00A45E1C">
        <w:rPr>
          <w:rFonts w:ascii="Times New Roman" w:eastAsia="Times New Roman" w:hAnsi="Times New Roman" w:cs="Times New Roman"/>
          <w:kern w:val="0"/>
          <w14:ligatures w14:val="none"/>
        </w:rPr>
        <w:lastRenderedPageBreak/>
        <w:t>The specific recommendations set forth above would accomplish each of these objectives while fully satisfying the statutory mandate of CWA Section 311(j)(5)</w:t>
      </w:r>
      <w:r>
        <w:rPr>
          <w:rFonts w:ascii="Times New Roman" w:eastAsia="Times New Roman" w:hAnsi="Times New Roman" w:cs="Times New Roman"/>
          <w:kern w:val="0"/>
          <w14:ligatures w14:val="none"/>
        </w:rPr>
        <w:t xml:space="preserve">.  </w:t>
      </w:r>
      <w:r w:rsidRPr="00A45E1C">
        <w:rPr>
          <w:rFonts w:ascii="Times New Roman" w:eastAsia="Times New Roman" w:hAnsi="Times New Roman" w:cs="Times New Roman"/>
          <w:kern w:val="0"/>
          <w14:ligatures w14:val="none"/>
        </w:rPr>
        <w:t>AFPM appreciate</w:t>
      </w:r>
      <w:r>
        <w:rPr>
          <w:rFonts w:ascii="Times New Roman" w:eastAsia="Times New Roman" w:hAnsi="Times New Roman" w:cs="Times New Roman"/>
          <w:kern w:val="0"/>
          <w14:ligatures w14:val="none"/>
        </w:rPr>
        <w:t>s</w:t>
      </w:r>
      <w:r w:rsidRPr="00A45E1C">
        <w:rPr>
          <w:rFonts w:ascii="Times New Roman" w:eastAsia="Times New Roman" w:hAnsi="Times New Roman" w:cs="Times New Roman"/>
          <w:kern w:val="0"/>
          <w14:ligatures w14:val="none"/>
        </w:rPr>
        <w:t xml:space="preserve"> EPA’s willingness to reconsider these provisions and stands ready to provide additional data or technical support as </w:t>
      </w:r>
      <w:r w:rsidR="007A562B">
        <w:rPr>
          <w:rFonts w:ascii="Times New Roman" w:eastAsia="Times New Roman" w:hAnsi="Times New Roman" w:cs="Times New Roman"/>
          <w:kern w:val="0"/>
          <w14:ligatures w14:val="none"/>
        </w:rPr>
        <w:t>it</w:t>
      </w:r>
      <w:r w:rsidRPr="00A45E1C">
        <w:rPr>
          <w:rFonts w:ascii="Times New Roman" w:eastAsia="Times New Roman" w:hAnsi="Times New Roman" w:cs="Times New Roman"/>
          <w:kern w:val="0"/>
          <w14:ligatures w14:val="none"/>
        </w:rPr>
        <w:t xml:space="preserve"> develops its proposed rule.</w:t>
      </w:r>
      <w:r>
        <w:rPr>
          <w:rFonts w:ascii="Times New Roman" w:eastAsia="Times New Roman" w:hAnsi="Times New Roman" w:cs="Times New Roman"/>
          <w:kern w:val="0"/>
          <w14:ligatures w14:val="none"/>
        </w:rPr>
        <w:t xml:space="preserve"> If you need further information or have </w:t>
      </w:r>
      <w:r w:rsidR="005B14D7">
        <w:rPr>
          <w:rFonts w:ascii="Times New Roman" w:eastAsia="Times New Roman" w:hAnsi="Times New Roman" w:cs="Times New Roman"/>
          <w:kern w:val="0"/>
          <w14:ligatures w14:val="none"/>
        </w:rPr>
        <w:t>any</w:t>
      </w:r>
      <w:r>
        <w:rPr>
          <w:rFonts w:ascii="Times New Roman" w:eastAsia="Times New Roman" w:hAnsi="Times New Roman" w:cs="Times New Roman"/>
          <w:kern w:val="0"/>
          <w14:ligatures w14:val="none"/>
        </w:rPr>
        <w:t xml:space="preserve"> </w:t>
      </w:r>
      <w:r w:rsidR="007A562B">
        <w:rPr>
          <w:rFonts w:ascii="Times New Roman" w:eastAsia="Times New Roman" w:hAnsi="Times New Roman" w:cs="Times New Roman"/>
          <w:kern w:val="0"/>
          <w14:ligatures w14:val="none"/>
        </w:rPr>
        <w:t>questions,</w:t>
      </w:r>
      <w:r>
        <w:rPr>
          <w:rFonts w:ascii="Times New Roman" w:eastAsia="Times New Roman" w:hAnsi="Times New Roman" w:cs="Times New Roman"/>
          <w:kern w:val="0"/>
          <w14:ligatures w14:val="none"/>
        </w:rPr>
        <w:t xml:space="preserve"> please do not hesitate to contact me.</w:t>
      </w:r>
    </w:p>
    <w:p w14:paraId="61515A4E" w14:textId="77777777" w:rsidR="00A45E1C" w:rsidRDefault="00A45E1C" w:rsidP="00A45E1C">
      <w:pPr>
        <w:spacing w:line="240" w:lineRule="auto"/>
        <w:jc w:val="both"/>
        <w:rPr>
          <w:rFonts w:ascii="Times New Roman" w:eastAsia="Times New Roman" w:hAnsi="Times New Roman" w:cs="Times New Roman"/>
          <w:kern w:val="0"/>
          <w14:ligatures w14:val="none"/>
        </w:rPr>
      </w:pPr>
    </w:p>
    <w:p w14:paraId="361BD866" w14:textId="17E3E289" w:rsidR="00A45E1C" w:rsidRDefault="00A45E1C" w:rsidP="00A45E1C">
      <w:p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Sincerely, </w:t>
      </w:r>
    </w:p>
    <w:p w14:paraId="02EAA0FA" w14:textId="7B9704F4" w:rsidR="00A45E1C" w:rsidRDefault="00A20DE9" w:rsidP="00A45E1C">
      <w:pPr>
        <w:spacing w:line="240" w:lineRule="auto"/>
        <w:jc w:val="both"/>
        <w:rPr>
          <w:rFonts w:ascii="Times New Roman" w:eastAsia="Times New Roman" w:hAnsi="Times New Roman" w:cs="Times New Roman"/>
          <w:kern w:val="0"/>
          <w14:ligatures w14:val="none"/>
        </w:rPr>
      </w:pPr>
      <w:r>
        <w:rPr>
          <w:noProof/>
        </w:rPr>
        <w:drawing>
          <wp:inline distT="0" distB="0" distL="0" distR="0" wp14:anchorId="6BA5F7E1" wp14:editId="724F0702">
            <wp:extent cx="1762125" cy="628542"/>
            <wp:effectExtent l="0" t="0" r="0" b="635"/>
            <wp:docPr id="2044948859" name="Picture 2044948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785467" cy="636868"/>
                    </a:xfrm>
                    <a:prstGeom prst="rect">
                      <a:avLst/>
                    </a:prstGeom>
                    <a:noFill/>
                    <a:ln w="9525">
                      <a:noFill/>
                      <a:miter lim="800000"/>
                      <a:headEnd/>
                      <a:tailEnd/>
                    </a:ln>
                  </pic:spPr>
                </pic:pic>
              </a:graphicData>
            </a:graphic>
          </wp:inline>
        </w:drawing>
      </w:r>
    </w:p>
    <w:p w14:paraId="38C7B6A0" w14:textId="77777777" w:rsidR="00A45E1C" w:rsidRDefault="00A45E1C" w:rsidP="00A45E1C">
      <w:pPr>
        <w:spacing w:line="240" w:lineRule="auto"/>
        <w:jc w:val="both"/>
        <w:rPr>
          <w:rFonts w:ascii="Times New Roman" w:eastAsia="Times New Roman" w:hAnsi="Times New Roman" w:cs="Times New Roman"/>
          <w:kern w:val="0"/>
          <w14:ligatures w14:val="none"/>
        </w:rPr>
      </w:pPr>
    </w:p>
    <w:p w14:paraId="3F7D9D7D" w14:textId="00F3CA06" w:rsidR="00A45E1C" w:rsidRDefault="00A45E1C" w:rsidP="00A45E1C">
      <w:pPr>
        <w:spacing w:after="0"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Jeff Gunnulfsen </w:t>
      </w:r>
    </w:p>
    <w:p w14:paraId="0ACFCB58" w14:textId="77777777" w:rsidR="00A45E1C" w:rsidRDefault="00A45E1C" w:rsidP="00A45E1C">
      <w:pPr>
        <w:spacing w:after="0" w:line="240" w:lineRule="auto"/>
      </w:pPr>
    </w:p>
    <w:p w14:paraId="60B8A451" w14:textId="77777777" w:rsidR="00A45E1C" w:rsidRDefault="00A45E1C" w:rsidP="00A45E1C">
      <w:pPr>
        <w:spacing w:after="0" w:line="240" w:lineRule="auto"/>
      </w:pPr>
      <w:r>
        <w:t xml:space="preserve">Assistant Vice President </w:t>
      </w:r>
    </w:p>
    <w:p w14:paraId="26849DDB" w14:textId="77777777" w:rsidR="00A45E1C" w:rsidRDefault="00A45E1C" w:rsidP="00A45E1C">
      <w:pPr>
        <w:spacing w:after="0" w:line="240" w:lineRule="auto"/>
      </w:pPr>
      <w:r>
        <w:t>Security &amp; Risk Management Issues</w:t>
      </w:r>
    </w:p>
    <w:p w14:paraId="48A899A6" w14:textId="77777777" w:rsidR="00A45E1C" w:rsidRDefault="00A45E1C" w:rsidP="00A45E1C">
      <w:pPr>
        <w:spacing w:after="0" w:line="240" w:lineRule="auto"/>
      </w:pPr>
    </w:p>
    <w:p w14:paraId="071B4CE6" w14:textId="77777777" w:rsidR="00A45E1C" w:rsidRDefault="00A45E1C" w:rsidP="00A45E1C">
      <w:pPr>
        <w:spacing w:after="0" w:line="240" w:lineRule="auto"/>
      </w:pPr>
      <w:r>
        <w:t xml:space="preserve">American </w:t>
      </w:r>
    </w:p>
    <w:p w14:paraId="3D61D3FE" w14:textId="77777777" w:rsidR="00A45E1C" w:rsidRDefault="00A45E1C" w:rsidP="00A45E1C">
      <w:pPr>
        <w:spacing w:after="0" w:line="240" w:lineRule="auto"/>
      </w:pPr>
      <w:r>
        <w:t xml:space="preserve">Fuel &amp; Petrochemical </w:t>
      </w:r>
    </w:p>
    <w:p w14:paraId="6D0E9934" w14:textId="77777777" w:rsidR="00A45E1C" w:rsidRDefault="00A45E1C" w:rsidP="00A45E1C">
      <w:pPr>
        <w:spacing w:after="0" w:line="240" w:lineRule="auto"/>
      </w:pPr>
      <w:r>
        <w:t>Manufacturers</w:t>
      </w:r>
    </w:p>
    <w:p w14:paraId="6418493D" w14:textId="77777777" w:rsidR="00A45E1C" w:rsidRDefault="00A45E1C" w:rsidP="00A45E1C">
      <w:pPr>
        <w:spacing w:after="0" w:line="240" w:lineRule="auto"/>
      </w:pPr>
      <w:r>
        <w:t>1800 M. Street N.W. Suite 900, North Tower</w:t>
      </w:r>
    </w:p>
    <w:p w14:paraId="12BE91FD" w14:textId="77777777" w:rsidR="00A45E1C" w:rsidRDefault="00A45E1C" w:rsidP="00A45E1C">
      <w:pPr>
        <w:spacing w:after="0" w:line="240" w:lineRule="auto"/>
      </w:pPr>
      <w:r>
        <w:t>Washington, DC. 20036</w:t>
      </w:r>
    </w:p>
    <w:p w14:paraId="33F34ECF" w14:textId="77777777" w:rsidR="00A45E1C" w:rsidRDefault="00A45E1C" w:rsidP="00A45E1C">
      <w:pPr>
        <w:spacing w:after="0" w:line="240" w:lineRule="auto"/>
      </w:pPr>
      <w:r>
        <w:t>202-457-0480       office</w:t>
      </w:r>
    </w:p>
    <w:p w14:paraId="18232202" w14:textId="77777777" w:rsidR="00A45E1C" w:rsidRDefault="00A45E1C" w:rsidP="00A45E1C">
      <w:pPr>
        <w:spacing w:after="0" w:line="240" w:lineRule="auto"/>
      </w:pPr>
      <w:r>
        <w:t>202. 844.  5483     direct</w:t>
      </w:r>
    </w:p>
    <w:p w14:paraId="16DC7328" w14:textId="77777777" w:rsidR="00A45E1C" w:rsidRDefault="00A45E1C" w:rsidP="00A45E1C"/>
    <w:p w14:paraId="223A8380" w14:textId="77777777" w:rsidR="00A45E1C" w:rsidRDefault="00A45E1C" w:rsidP="00A45E1C">
      <w:hyperlink r:id="rId12" w:history="1">
        <w:r>
          <w:rPr>
            <w:rStyle w:val="Hyperlink"/>
            <w:color w:val="0563C1"/>
          </w:rPr>
          <w:t>jgunnulfsen@afpm.org</w:t>
        </w:r>
      </w:hyperlink>
    </w:p>
    <w:p w14:paraId="63F97D7B" w14:textId="77777777" w:rsidR="00A45E1C" w:rsidRDefault="00A45E1C" w:rsidP="00A45E1C">
      <w:pPr>
        <w:spacing w:line="240" w:lineRule="auto"/>
        <w:jc w:val="both"/>
        <w:rPr>
          <w:rFonts w:ascii="Times New Roman" w:eastAsia="Times New Roman" w:hAnsi="Times New Roman" w:cs="Times New Roman"/>
          <w:kern w:val="0"/>
          <w14:ligatures w14:val="none"/>
        </w:rPr>
      </w:pPr>
    </w:p>
    <w:p w14:paraId="53AB5628" w14:textId="77777777" w:rsidR="00A45E1C" w:rsidRDefault="00A45E1C" w:rsidP="00A45E1C">
      <w:pPr>
        <w:spacing w:line="240" w:lineRule="auto"/>
        <w:jc w:val="both"/>
        <w:rPr>
          <w:rFonts w:ascii="Times New Roman" w:eastAsia="Times New Roman" w:hAnsi="Times New Roman" w:cs="Times New Roman"/>
          <w:kern w:val="0"/>
          <w14:ligatures w14:val="none"/>
        </w:rPr>
      </w:pPr>
    </w:p>
    <w:p w14:paraId="1764080C" w14:textId="77777777" w:rsidR="00A45E1C" w:rsidRPr="00A45E1C" w:rsidRDefault="00A45E1C" w:rsidP="00A45E1C">
      <w:pPr>
        <w:spacing w:line="240" w:lineRule="auto"/>
        <w:jc w:val="both"/>
        <w:rPr>
          <w:rFonts w:ascii="Times New Roman" w:eastAsia="Times New Roman" w:hAnsi="Times New Roman" w:cs="Times New Roman"/>
          <w:kern w:val="0"/>
          <w14:ligatures w14:val="none"/>
        </w:rPr>
      </w:pPr>
    </w:p>
    <w:p w14:paraId="04406176" w14:textId="77777777" w:rsidR="00081C57" w:rsidRDefault="00081C57" w:rsidP="00081C57"/>
    <w:sectPr w:rsidR="00081C57" w:rsidSect="00881B28">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2B27C" w14:textId="77777777" w:rsidR="00210FDD" w:rsidRDefault="00210FDD" w:rsidP="00D3162D">
      <w:pPr>
        <w:spacing w:after="0" w:line="240" w:lineRule="auto"/>
      </w:pPr>
      <w:r>
        <w:separator/>
      </w:r>
    </w:p>
  </w:endnote>
  <w:endnote w:type="continuationSeparator" w:id="0">
    <w:p w14:paraId="0E19C20A" w14:textId="77777777" w:rsidR="00210FDD" w:rsidRDefault="00210FDD" w:rsidP="00D31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Narrow-Bold">
    <w:altName w:val="Arial"/>
    <w:panose1 w:val="00000000000000000000"/>
    <w:charset w:val="4D"/>
    <w:family w:val="auto"/>
    <w:notTrueType/>
    <w:pitch w:val="default"/>
    <w:sig w:usb0="00000003" w:usb1="00000000" w:usb2="00000000" w:usb3="00000000" w:csb0="00000001" w:csb1="00000000"/>
  </w:font>
  <w:font w:name="ArialNarrow">
    <w:altName w:val="Arial"/>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842091"/>
      <w:docPartObj>
        <w:docPartGallery w:val="Page Numbers (Bottom of Page)"/>
        <w:docPartUnique/>
      </w:docPartObj>
    </w:sdtPr>
    <w:sdtEndPr>
      <w:rPr>
        <w:rFonts w:ascii="Times New Roman" w:hAnsi="Times New Roman" w:cs="Times New Roman"/>
        <w:noProof/>
      </w:rPr>
    </w:sdtEndPr>
    <w:sdtContent>
      <w:p w14:paraId="50E827EE" w14:textId="2245E53B" w:rsidR="00D3162D" w:rsidRPr="00EA1439" w:rsidRDefault="00D3162D">
        <w:pPr>
          <w:pStyle w:val="Footer"/>
          <w:jc w:val="center"/>
          <w:rPr>
            <w:rFonts w:ascii="Times New Roman" w:hAnsi="Times New Roman" w:cs="Times New Roman"/>
          </w:rPr>
        </w:pPr>
        <w:r w:rsidRPr="00EA1439">
          <w:rPr>
            <w:rFonts w:ascii="Times New Roman" w:hAnsi="Times New Roman" w:cs="Times New Roman"/>
          </w:rPr>
          <w:fldChar w:fldCharType="begin"/>
        </w:r>
        <w:r w:rsidRPr="00EA1439">
          <w:rPr>
            <w:rFonts w:ascii="Times New Roman" w:hAnsi="Times New Roman" w:cs="Times New Roman"/>
          </w:rPr>
          <w:instrText xml:space="preserve"> PAGE   \* MERGEFORMAT </w:instrText>
        </w:r>
        <w:r w:rsidRPr="00EA1439">
          <w:rPr>
            <w:rFonts w:ascii="Times New Roman" w:hAnsi="Times New Roman" w:cs="Times New Roman"/>
          </w:rPr>
          <w:fldChar w:fldCharType="separate"/>
        </w:r>
        <w:r w:rsidRPr="00EA1439">
          <w:rPr>
            <w:rFonts w:ascii="Times New Roman" w:hAnsi="Times New Roman" w:cs="Times New Roman"/>
            <w:noProof/>
          </w:rPr>
          <w:t>2</w:t>
        </w:r>
        <w:r w:rsidRPr="00EA1439">
          <w:rPr>
            <w:rFonts w:ascii="Times New Roman" w:hAnsi="Times New Roman" w:cs="Times New Roman"/>
            <w:noProof/>
          </w:rPr>
          <w:fldChar w:fldCharType="end"/>
        </w:r>
      </w:p>
    </w:sdtContent>
  </w:sdt>
  <w:p w14:paraId="63C6724B" w14:textId="77777777" w:rsidR="00D3162D" w:rsidRDefault="00D316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E8669" w14:textId="77777777" w:rsidR="00F04A98" w:rsidRDefault="00F04A98">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29879144" w14:textId="77777777" w:rsidR="00454BE5" w:rsidRDefault="00454B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91AE2" w14:textId="77777777" w:rsidR="00210FDD" w:rsidRDefault="00210FDD" w:rsidP="00D3162D">
      <w:pPr>
        <w:spacing w:after="0" w:line="240" w:lineRule="auto"/>
      </w:pPr>
      <w:r>
        <w:separator/>
      </w:r>
    </w:p>
  </w:footnote>
  <w:footnote w:type="continuationSeparator" w:id="0">
    <w:p w14:paraId="2505ABD2" w14:textId="77777777" w:rsidR="00210FDD" w:rsidRDefault="00210FDD" w:rsidP="00D3162D">
      <w:pPr>
        <w:spacing w:after="0" w:line="240" w:lineRule="auto"/>
      </w:pPr>
      <w:r>
        <w:continuationSeparator/>
      </w:r>
    </w:p>
  </w:footnote>
  <w:footnote w:id="1">
    <w:p w14:paraId="774860AF" w14:textId="457714D9" w:rsidR="00D1023D" w:rsidRDefault="00D1023D">
      <w:pPr>
        <w:pStyle w:val="FootnoteText"/>
      </w:pPr>
      <w:r>
        <w:rPr>
          <w:rStyle w:val="FootnoteReference"/>
        </w:rPr>
        <w:footnoteRef/>
      </w:r>
      <w:r>
        <w:t xml:space="preserve"> </w:t>
      </w:r>
      <w:r w:rsidR="00BA7051" w:rsidRPr="00881B28">
        <w:rPr>
          <w:rFonts w:ascii="Times New Roman" w:hAnsi="Times New Roman" w:cs="Times New Roman"/>
          <w:sz w:val="24"/>
          <w:szCs w:val="24"/>
        </w:rPr>
        <w:t xml:space="preserve">March 5, </w:t>
      </w:r>
      <w:proofErr w:type="gramStart"/>
      <w:r w:rsidR="00BA7051" w:rsidRPr="00881B28">
        <w:rPr>
          <w:rFonts w:ascii="Times New Roman" w:hAnsi="Times New Roman" w:cs="Times New Roman"/>
          <w:sz w:val="24"/>
          <w:szCs w:val="24"/>
        </w:rPr>
        <w:t>2026</w:t>
      </w:r>
      <w:proofErr w:type="gramEnd"/>
      <w:r w:rsidR="00BA7051" w:rsidRPr="00881B28">
        <w:rPr>
          <w:rFonts w:ascii="Times New Roman" w:hAnsi="Times New Roman" w:cs="Times New Roman"/>
          <w:sz w:val="24"/>
          <w:szCs w:val="24"/>
        </w:rPr>
        <w:t xml:space="preserve"> Federal Register, p. </w:t>
      </w:r>
      <w:r w:rsidR="00436370" w:rsidRPr="00881B28">
        <w:rPr>
          <w:rFonts w:ascii="Times New Roman" w:hAnsi="Times New Roman" w:cs="Times New Roman"/>
          <w:sz w:val="24"/>
          <w:szCs w:val="24"/>
        </w:rPr>
        <w:t>10789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5EB95" w14:textId="340483CF" w:rsidR="00EF70D3" w:rsidRDefault="00EF70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7248E" w14:textId="11C27D85" w:rsidR="008B680D" w:rsidRDefault="00103323">
    <w:pPr>
      <w:pStyle w:val="Header"/>
    </w:pPr>
    <w:r w:rsidRPr="00E14F74">
      <w:rPr>
        <w:rFonts w:ascii="Arial" w:hAnsi="Arial" w:cs="Arial"/>
        <w:noProof/>
        <w:sz w:val="21"/>
        <w:szCs w:val="21"/>
      </w:rPr>
      <w:drawing>
        <wp:anchor distT="0" distB="0" distL="114300" distR="114300" simplePos="0" relativeHeight="251658241" behindDoc="0" locked="0" layoutInCell="1" allowOverlap="1" wp14:anchorId="6D56155B" wp14:editId="79867DA9">
          <wp:simplePos x="0" y="0"/>
          <wp:positionH relativeFrom="margin">
            <wp:align>left</wp:align>
          </wp:positionH>
          <wp:positionV relativeFrom="paragraph">
            <wp:posOffset>-38100</wp:posOffset>
          </wp:positionV>
          <wp:extent cx="723900" cy="457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23900" cy="457200"/>
                  </a:xfrm>
                  <a:prstGeom prst="rect">
                    <a:avLst/>
                  </a:prstGeom>
                </pic:spPr>
              </pic:pic>
            </a:graphicData>
          </a:graphic>
          <wp14:sizeRelH relativeFrom="page">
            <wp14:pctWidth>0</wp14:pctWidth>
          </wp14:sizeRelH>
          <wp14:sizeRelV relativeFrom="page">
            <wp14:pctHeight>0</wp14:pctHeight>
          </wp14:sizeRelV>
        </wp:anchor>
      </w:drawing>
    </w:r>
    <w:r w:rsidR="00CF42F3" w:rsidRPr="00E14F74">
      <w:rPr>
        <w:rFonts w:ascii="Arial" w:hAnsi="Arial" w:cs="Arial"/>
        <w:noProof/>
        <w:sz w:val="21"/>
        <w:szCs w:val="21"/>
      </w:rPr>
      <mc:AlternateContent>
        <mc:Choice Requires="wps">
          <w:drawing>
            <wp:anchor distT="0" distB="0" distL="114300" distR="114300" simplePos="0" relativeHeight="251658240" behindDoc="0" locked="0" layoutInCell="1" allowOverlap="1" wp14:anchorId="66B37602" wp14:editId="0DC31FB1">
              <wp:simplePos x="0" y="0"/>
              <wp:positionH relativeFrom="page">
                <wp:posOffset>5687695</wp:posOffset>
              </wp:positionH>
              <wp:positionV relativeFrom="page">
                <wp:posOffset>385445</wp:posOffset>
              </wp:positionV>
              <wp:extent cx="1143000" cy="1847215"/>
              <wp:effectExtent l="0" t="0" r="0" b="0"/>
              <wp:wrapTight wrapText="bothSides">
                <wp:wrapPolygon edited="0">
                  <wp:start x="0" y="0"/>
                  <wp:lineTo x="0" y="21533"/>
                  <wp:lineTo x="21360" y="21533"/>
                  <wp:lineTo x="21360" y="0"/>
                  <wp:lineTo x="0" y="0"/>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3000" cy="1847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D8627" w14:textId="77777777" w:rsidR="00CF42F3" w:rsidRPr="00D35B87" w:rsidRDefault="00CF42F3" w:rsidP="00CF42F3">
                          <w:pPr>
                            <w:pStyle w:val="StationarySubhead910"/>
                            <w:rPr>
                              <w:rFonts w:ascii="Arial Narrow" w:hAnsi="Arial Narrow"/>
                              <w:color w:val="6A737B"/>
                            </w:rPr>
                          </w:pPr>
                          <w:r w:rsidRPr="00D35B87">
                            <w:rPr>
                              <w:rFonts w:ascii="Arial Narrow" w:hAnsi="Arial Narrow"/>
                              <w:color w:val="6A737B"/>
                            </w:rPr>
                            <w:t xml:space="preserve">American </w:t>
                          </w:r>
                          <w:r w:rsidRPr="00D35B87">
                            <w:rPr>
                              <w:rFonts w:ascii="Arial Narrow" w:hAnsi="Arial Narrow"/>
                              <w:color w:val="6A737B"/>
                            </w:rPr>
                            <w:br/>
                            <w:t xml:space="preserve">Fuel &amp; Petrochemical </w:t>
                          </w:r>
                          <w:r w:rsidRPr="00D35B87">
                            <w:rPr>
                              <w:rFonts w:ascii="Arial Narrow" w:hAnsi="Arial Narrow"/>
                              <w:color w:val="6A737B"/>
                            </w:rPr>
                            <w:br/>
                            <w:t>Manufacturers</w:t>
                          </w:r>
                        </w:p>
                        <w:p w14:paraId="1D7031EE" w14:textId="77777777" w:rsidR="00CF42F3" w:rsidRPr="00D35B87" w:rsidRDefault="00CF42F3" w:rsidP="00CF42F3">
                          <w:pPr>
                            <w:pStyle w:val="StationaryText910"/>
                            <w:rPr>
                              <w:rFonts w:ascii="Arial Narrow" w:hAnsi="Arial Narrow"/>
                              <w:color w:val="6A737B"/>
                            </w:rPr>
                          </w:pPr>
                        </w:p>
                        <w:p w14:paraId="74382DEE" w14:textId="77777777" w:rsidR="00CF42F3" w:rsidRPr="00D35B87" w:rsidRDefault="00CF42F3" w:rsidP="00CF42F3">
                          <w:pPr>
                            <w:pStyle w:val="StationaryText910"/>
                            <w:rPr>
                              <w:rFonts w:ascii="Arial Narrow" w:hAnsi="Arial Narrow"/>
                              <w:color w:val="6A737B"/>
                            </w:rPr>
                          </w:pPr>
                          <w:r w:rsidRPr="00D35B87">
                            <w:rPr>
                              <w:rFonts w:ascii="Arial Narrow" w:hAnsi="Arial Narrow"/>
                              <w:color w:val="6A737B"/>
                            </w:rPr>
                            <w:t>1800 M Street, NW</w:t>
                          </w:r>
                        </w:p>
                        <w:p w14:paraId="2A4705B0" w14:textId="77777777" w:rsidR="00CF42F3" w:rsidRPr="00D35B87" w:rsidRDefault="00CF42F3" w:rsidP="00CF42F3">
                          <w:pPr>
                            <w:pStyle w:val="StationaryText910"/>
                            <w:rPr>
                              <w:rFonts w:ascii="Arial Narrow" w:hAnsi="Arial Narrow"/>
                              <w:color w:val="6A737B"/>
                            </w:rPr>
                          </w:pPr>
                          <w:r w:rsidRPr="00D35B87">
                            <w:rPr>
                              <w:rFonts w:ascii="Arial Narrow" w:hAnsi="Arial Narrow"/>
                              <w:color w:val="6A737B"/>
                            </w:rPr>
                            <w:t>Suite 900 North</w:t>
                          </w:r>
                        </w:p>
                        <w:p w14:paraId="01B1FF18" w14:textId="77777777" w:rsidR="00CF42F3" w:rsidRPr="00D35B87" w:rsidRDefault="00CF42F3" w:rsidP="00CF42F3">
                          <w:pPr>
                            <w:pStyle w:val="StationaryText910"/>
                            <w:rPr>
                              <w:rFonts w:ascii="Arial Narrow" w:hAnsi="Arial Narrow"/>
                              <w:color w:val="6A737B"/>
                            </w:rPr>
                          </w:pPr>
                          <w:r w:rsidRPr="00D35B87">
                            <w:rPr>
                              <w:rFonts w:ascii="Arial Narrow" w:hAnsi="Arial Narrow"/>
                              <w:color w:val="6A737B"/>
                            </w:rPr>
                            <w:t xml:space="preserve">Washington, DC  </w:t>
                          </w:r>
                          <w:r w:rsidRPr="00D35B87">
                            <w:rPr>
                              <w:rFonts w:ascii="Arial Narrow" w:hAnsi="Arial Narrow"/>
                              <w:color w:val="6A737B"/>
                            </w:rPr>
                            <w:br/>
                            <w:t>20036</w:t>
                          </w:r>
                        </w:p>
                        <w:p w14:paraId="2493DA24" w14:textId="77777777" w:rsidR="00CF42F3" w:rsidRPr="00D35B87" w:rsidRDefault="00CF42F3" w:rsidP="00CF42F3">
                          <w:pPr>
                            <w:pStyle w:val="StationaryText910"/>
                            <w:rPr>
                              <w:rFonts w:ascii="Arial Narrow" w:hAnsi="Arial Narrow"/>
                              <w:color w:val="6A737B"/>
                            </w:rPr>
                          </w:pPr>
                        </w:p>
                        <w:p w14:paraId="5724672D" w14:textId="77777777" w:rsidR="00CF42F3" w:rsidRPr="00D35B87" w:rsidRDefault="00CF42F3" w:rsidP="00CF42F3">
                          <w:pPr>
                            <w:pStyle w:val="StationaryText910"/>
                            <w:rPr>
                              <w:rFonts w:ascii="Arial Narrow" w:hAnsi="Arial Narrow"/>
                              <w:color w:val="6A737B"/>
                            </w:rPr>
                          </w:pPr>
                          <w:r w:rsidRPr="00D35B87">
                            <w:rPr>
                              <w:rFonts w:ascii="Arial Narrow" w:hAnsi="Arial Narrow"/>
                              <w:color w:val="6A737B"/>
                            </w:rPr>
                            <w:t>202.457.0480 office</w:t>
                          </w:r>
                        </w:p>
                        <w:p w14:paraId="2A9720DC" w14:textId="77777777" w:rsidR="00CF42F3" w:rsidRPr="00D35B87" w:rsidRDefault="00CF42F3" w:rsidP="00CF42F3">
                          <w:pPr>
                            <w:pStyle w:val="StationaryText910"/>
                            <w:rPr>
                              <w:rFonts w:ascii="Arial Narrow" w:hAnsi="Arial Narrow"/>
                              <w:color w:val="6A737B"/>
                            </w:rPr>
                          </w:pPr>
                          <w:r w:rsidRPr="00D35B87">
                            <w:rPr>
                              <w:rFonts w:ascii="Arial Narrow" w:hAnsi="Arial Narrow"/>
                              <w:color w:val="6A737B"/>
                            </w:rPr>
                            <w:t>afpm.org</w:t>
                          </w:r>
                        </w:p>
                        <w:p w14:paraId="02D466E6" w14:textId="77777777" w:rsidR="00CF42F3" w:rsidRPr="00D35B87" w:rsidRDefault="00CF42F3" w:rsidP="00CF42F3">
                          <w:pPr>
                            <w:rPr>
                              <w:rFonts w:ascii="Arial Narrow" w:hAnsi="Arial Narrow"/>
                              <w:color w:val="6A737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B37602" id="_x0000_t202" coordsize="21600,21600" o:spt="202" path="m,l,21600r21600,l21600,xe">
              <v:stroke joinstyle="miter"/>
              <v:path gradientshapeok="t" o:connecttype="rect"/>
            </v:shapetype>
            <v:shape id="Text Box 1" o:spid="_x0000_s1026" type="#_x0000_t202" style="position:absolute;margin-left:447.85pt;margin-top:30.35pt;width:90pt;height:145.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" filled="f" stroked="f">
              <v:path arrowok="t"/>
              <v:textbox inset="0,0,0,0">
                <w:txbxContent>
                  <w:p w14:paraId="10DD8627" w14:textId="77777777" w:rsidR="00CF42F3" w:rsidRPr="00D35B87" w:rsidRDefault="00CF42F3" w:rsidP="00CF42F3">
                    <w:pPr>
                      <w:pStyle w:val="StationarySubhead910"/>
                      <w:rPr>
                        <w:rFonts w:ascii="Arial Narrow" w:hAnsi="Arial Narrow"/>
                        <w:color w:val="6A737B"/>
                      </w:rPr>
                    </w:pPr>
                    <w:r w:rsidRPr="00D35B87">
                      <w:rPr>
                        <w:rFonts w:ascii="Arial Narrow" w:hAnsi="Arial Narrow"/>
                        <w:color w:val="6A737B"/>
                      </w:rPr>
                      <w:t xml:space="preserve">American </w:t>
                    </w:r>
                    <w:r w:rsidRPr="00D35B87">
                      <w:rPr>
                        <w:rFonts w:ascii="Arial Narrow" w:hAnsi="Arial Narrow"/>
                        <w:color w:val="6A737B"/>
                      </w:rPr>
                      <w:br/>
                      <w:t xml:space="preserve">Fuel &amp; Petrochemical </w:t>
                    </w:r>
                    <w:r w:rsidRPr="00D35B87">
                      <w:rPr>
                        <w:rFonts w:ascii="Arial Narrow" w:hAnsi="Arial Narrow"/>
                        <w:color w:val="6A737B"/>
                      </w:rPr>
                      <w:br/>
                      <w:t>Manufacturers</w:t>
                    </w:r>
                  </w:p>
                  <w:p w14:paraId="1D7031EE" w14:textId="77777777" w:rsidR="00CF42F3" w:rsidRPr="00D35B87" w:rsidRDefault="00CF42F3" w:rsidP="00CF42F3">
                    <w:pPr>
                      <w:pStyle w:val="StationaryText910"/>
                      <w:rPr>
                        <w:rFonts w:ascii="Arial Narrow" w:hAnsi="Arial Narrow"/>
                        <w:color w:val="6A737B"/>
                      </w:rPr>
                    </w:pPr>
                  </w:p>
                  <w:p w14:paraId="74382DEE" w14:textId="77777777" w:rsidR="00CF42F3" w:rsidRPr="00D35B87" w:rsidRDefault="00CF42F3" w:rsidP="00CF42F3">
                    <w:pPr>
                      <w:pStyle w:val="StationaryText910"/>
                      <w:rPr>
                        <w:rFonts w:ascii="Arial Narrow" w:hAnsi="Arial Narrow"/>
                        <w:color w:val="6A737B"/>
                      </w:rPr>
                    </w:pPr>
                    <w:r w:rsidRPr="00D35B87">
                      <w:rPr>
                        <w:rFonts w:ascii="Arial Narrow" w:hAnsi="Arial Narrow"/>
                        <w:color w:val="6A737B"/>
                      </w:rPr>
                      <w:t>1800 M Street, NW</w:t>
                    </w:r>
                  </w:p>
                  <w:p w14:paraId="2A4705B0" w14:textId="77777777" w:rsidR="00CF42F3" w:rsidRPr="00D35B87" w:rsidRDefault="00CF42F3" w:rsidP="00CF42F3">
                    <w:pPr>
                      <w:pStyle w:val="StationaryText910"/>
                      <w:rPr>
                        <w:rFonts w:ascii="Arial Narrow" w:hAnsi="Arial Narrow"/>
                        <w:color w:val="6A737B"/>
                      </w:rPr>
                    </w:pPr>
                    <w:r w:rsidRPr="00D35B87">
                      <w:rPr>
                        <w:rFonts w:ascii="Arial Narrow" w:hAnsi="Arial Narrow"/>
                        <w:color w:val="6A737B"/>
                      </w:rPr>
                      <w:t>Suite 900 North</w:t>
                    </w:r>
                  </w:p>
                  <w:p w14:paraId="01B1FF18" w14:textId="77777777" w:rsidR="00CF42F3" w:rsidRPr="00D35B87" w:rsidRDefault="00CF42F3" w:rsidP="00CF42F3">
                    <w:pPr>
                      <w:pStyle w:val="StationaryText910"/>
                      <w:rPr>
                        <w:rFonts w:ascii="Arial Narrow" w:hAnsi="Arial Narrow"/>
                        <w:color w:val="6A737B"/>
                      </w:rPr>
                    </w:pPr>
                    <w:r w:rsidRPr="00D35B87">
                      <w:rPr>
                        <w:rFonts w:ascii="Arial Narrow" w:hAnsi="Arial Narrow"/>
                        <w:color w:val="6A737B"/>
                      </w:rPr>
                      <w:t xml:space="preserve">Washington, DC  </w:t>
                    </w:r>
                    <w:r w:rsidRPr="00D35B87">
                      <w:rPr>
                        <w:rFonts w:ascii="Arial Narrow" w:hAnsi="Arial Narrow"/>
                        <w:color w:val="6A737B"/>
                      </w:rPr>
                      <w:br/>
                      <w:t>20036</w:t>
                    </w:r>
                  </w:p>
                  <w:p w14:paraId="2493DA24" w14:textId="77777777" w:rsidR="00CF42F3" w:rsidRPr="00D35B87" w:rsidRDefault="00CF42F3" w:rsidP="00CF42F3">
                    <w:pPr>
                      <w:pStyle w:val="StationaryText910"/>
                      <w:rPr>
                        <w:rFonts w:ascii="Arial Narrow" w:hAnsi="Arial Narrow"/>
                        <w:color w:val="6A737B"/>
                      </w:rPr>
                    </w:pPr>
                  </w:p>
                  <w:p w14:paraId="5724672D" w14:textId="77777777" w:rsidR="00CF42F3" w:rsidRPr="00D35B87" w:rsidRDefault="00CF42F3" w:rsidP="00CF42F3">
                    <w:pPr>
                      <w:pStyle w:val="StationaryText910"/>
                      <w:rPr>
                        <w:rFonts w:ascii="Arial Narrow" w:hAnsi="Arial Narrow"/>
                        <w:color w:val="6A737B"/>
                      </w:rPr>
                    </w:pPr>
                    <w:r w:rsidRPr="00D35B87">
                      <w:rPr>
                        <w:rFonts w:ascii="Arial Narrow" w:hAnsi="Arial Narrow"/>
                        <w:color w:val="6A737B"/>
                      </w:rPr>
                      <w:t>202.457.0480 office</w:t>
                    </w:r>
                  </w:p>
                  <w:p w14:paraId="2A9720DC" w14:textId="77777777" w:rsidR="00CF42F3" w:rsidRPr="00D35B87" w:rsidRDefault="00CF42F3" w:rsidP="00CF42F3">
                    <w:pPr>
                      <w:pStyle w:val="StationaryText910"/>
                      <w:rPr>
                        <w:rFonts w:ascii="Arial Narrow" w:hAnsi="Arial Narrow"/>
                        <w:color w:val="6A737B"/>
                      </w:rPr>
                    </w:pPr>
                    <w:r w:rsidRPr="00D35B87">
                      <w:rPr>
                        <w:rFonts w:ascii="Arial Narrow" w:hAnsi="Arial Narrow"/>
                        <w:color w:val="6A737B"/>
                      </w:rPr>
                      <w:t>afpm.org</w:t>
                    </w:r>
                  </w:p>
                  <w:p w14:paraId="02D466E6" w14:textId="77777777" w:rsidR="00CF42F3" w:rsidRPr="00D35B87" w:rsidRDefault="00CF42F3" w:rsidP="00CF42F3">
                    <w:pPr>
                      <w:rPr>
                        <w:rFonts w:ascii="Arial Narrow" w:hAnsi="Arial Narrow"/>
                        <w:color w:val="6A737B"/>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B3AC1"/>
    <w:multiLevelType w:val="hybridMultilevel"/>
    <w:tmpl w:val="5178C2D2"/>
    <w:lvl w:ilvl="0" w:tplc="532632E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4424A5"/>
    <w:multiLevelType w:val="hybridMultilevel"/>
    <w:tmpl w:val="17545DB6"/>
    <w:lvl w:ilvl="0" w:tplc="723608F8">
      <w:start w:val="1"/>
      <w:numFmt w:val="bullet"/>
      <w:lvlText w:val="•"/>
      <w:lvlJc w:val="left"/>
      <w:pPr>
        <w:ind w:left="720" w:hanging="360"/>
      </w:pPr>
    </w:lvl>
    <w:lvl w:ilvl="1" w:tplc="7A4AF606">
      <w:numFmt w:val="decimal"/>
      <w:lvlText w:val=""/>
      <w:lvlJc w:val="left"/>
    </w:lvl>
    <w:lvl w:ilvl="2" w:tplc="D62CD768">
      <w:numFmt w:val="decimal"/>
      <w:lvlText w:val=""/>
      <w:lvlJc w:val="left"/>
    </w:lvl>
    <w:lvl w:ilvl="3" w:tplc="3E12AE62">
      <w:numFmt w:val="decimal"/>
      <w:lvlText w:val=""/>
      <w:lvlJc w:val="left"/>
    </w:lvl>
    <w:lvl w:ilvl="4" w:tplc="6DE6893E">
      <w:numFmt w:val="decimal"/>
      <w:lvlText w:val=""/>
      <w:lvlJc w:val="left"/>
    </w:lvl>
    <w:lvl w:ilvl="5" w:tplc="95A6A328">
      <w:numFmt w:val="decimal"/>
      <w:lvlText w:val=""/>
      <w:lvlJc w:val="left"/>
    </w:lvl>
    <w:lvl w:ilvl="6" w:tplc="A0DCC02C">
      <w:numFmt w:val="decimal"/>
      <w:lvlText w:val=""/>
      <w:lvlJc w:val="left"/>
    </w:lvl>
    <w:lvl w:ilvl="7" w:tplc="FE6290E4">
      <w:numFmt w:val="decimal"/>
      <w:lvlText w:val=""/>
      <w:lvlJc w:val="left"/>
    </w:lvl>
    <w:lvl w:ilvl="8" w:tplc="113222F4">
      <w:numFmt w:val="decimal"/>
      <w:lvlText w:val=""/>
      <w:lvlJc w:val="left"/>
    </w:lvl>
  </w:abstractNum>
  <w:num w:numId="1" w16cid:durableId="464202351">
    <w:abstractNumId w:val="0"/>
  </w:num>
  <w:num w:numId="2" w16cid:durableId="175531807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C57"/>
    <w:rsid w:val="00020F53"/>
    <w:rsid w:val="00060442"/>
    <w:rsid w:val="00073602"/>
    <w:rsid w:val="00075FFE"/>
    <w:rsid w:val="00081C57"/>
    <w:rsid w:val="000845CA"/>
    <w:rsid w:val="00097D68"/>
    <w:rsid w:val="000B4C18"/>
    <w:rsid w:val="000E7969"/>
    <w:rsid w:val="000F0F7D"/>
    <w:rsid w:val="00103323"/>
    <w:rsid w:val="00113A14"/>
    <w:rsid w:val="00127A47"/>
    <w:rsid w:val="0015525B"/>
    <w:rsid w:val="001B40A2"/>
    <w:rsid w:val="001B474D"/>
    <w:rsid w:val="001C2160"/>
    <w:rsid w:val="001D7053"/>
    <w:rsid w:val="00202EDB"/>
    <w:rsid w:val="002036CE"/>
    <w:rsid w:val="002077A2"/>
    <w:rsid w:val="00210FDD"/>
    <w:rsid w:val="00211C55"/>
    <w:rsid w:val="002264AA"/>
    <w:rsid w:val="002346AC"/>
    <w:rsid w:val="00240380"/>
    <w:rsid w:val="002456C2"/>
    <w:rsid w:val="002659F9"/>
    <w:rsid w:val="002967F5"/>
    <w:rsid w:val="002D49A6"/>
    <w:rsid w:val="002D4DB9"/>
    <w:rsid w:val="002E3142"/>
    <w:rsid w:val="0030642F"/>
    <w:rsid w:val="003140D2"/>
    <w:rsid w:val="00317829"/>
    <w:rsid w:val="00357832"/>
    <w:rsid w:val="0038103F"/>
    <w:rsid w:val="003B060F"/>
    <w:rsid w:val="003B62BC"/>
    <w:rsid w:val="003B6DCF"/>
    <w:rsid w:val="003C1691"/>
    <w:rsid w:val="003E6B0F"/>
    <w:rsid w:val="00401AF9"/>
    <w:rsid w:val="0041591F"/>
    <w:rsid w:val="0042185F"/>
    <w:rsid w:val="00436370"/>
    <w:rsid w:val="00441FD6"/>
    <w:rsid w:val="0045479E"/>
    <w:rsid w:val="00454BE5"/>
    <w:rsid w:val="00473C38"/>
    <w:rsid w:val="00490093"/>
    <w:rsid w:val="00490631"/>
    <w:rsid w:val="00494A92"/>
    <w:rsid w:val="004B78C3"/>
    <w:rsid w:val="004C18E7"/>
    <w:rsid w:val="004C4046"/>
    <w:rsid w:val="00500F98"/>
    <w:rsid w:val="00520CF7"/>
    <w:rsid w:val="00566B37"/>
    <w:rsid w:val="005A7717"/>
    <w:rsid w:val="005B0252"/>
    <w:rsid w:val="005B14D7"/>
    <w:rsid w:val="005B60A4"/>
    <w:rsid w:val="005F18EF"/>
    <w:rsid w:val="005F4098"/>
    <w:rsid w:val="005F5826"/>
    <w:rsid w:val="00603542"/>
    <w:rsid w:val="00617B5B"/>
    <w:rsid w:val="0064079F"/>
    <w:rsid w:val="00686506"/>
    <w:rsid w:val="0069036B"/>
    <w:rsid w:val="006A3150"/>
    <w:rsid w:val="006B02FE"/>
    <w:rsid w:val="006C2446"/>
    <w:rsid w:val="006E5036"/>
    <w:rsid w:val="006F07A2"/>
    <w:rsid w:val="006F3D60"/>
    <w:rsid w:val="006F4E76"/>
    <w:rsid w:val="0071001D"/>
    <w:rsid w:val="0073316E"/>
    <w:rsid w:val="00762DF1"/>
    <w:rsid w:val="00771940"/>
    <w:rsid w:val="00774586"/>
    <w:rsid w:val="00781FA0"/>
    <w:rsid w:val="007A562B"/>
    <w:rsid w:val="007C5D66"/>
    <w:rsid w:val="007E55AE"/>
    <w:rsid w:val="00833835"/>
    <w:rsid w:val="0086023C"/>
    <w:rsid w:val="00881B28"/>
    <w:rsid w:val="008B680D"/>
    <w:rsid w:val="008C0B66"/>
    <w:rsid w:val="008C69D4"/>
    <w:rsid w:val="008E3222"/>
    <w:rsid w:val="008F4EBD"/>
    <w:rsid w:val="00900DC2"/>
    <w:rsid w:val="00914936"/>
    <w:rsid w:val="009175A3"/>
    <w:rsid w:val="00926BC7"/>
    <w:rsid w:val="00936932"/>
    <w:rsid w:val="0094654B"/>
    <w:rsid w:val="0097052D"/>
    <w:rsid w:val="00972BC7"/>
    <w:rsid w:val="00984BE9"/>
    <w:rsid w:val="009862F4"/>
    <w:rsid w:val="00990EE8"/>
    <w:rsid w:val="00991AD5"/>
    <w:rsid w:val="009A1BDE"/>
    <w:rsid w:val="009C6194"/>
    <w:rsid w:val="00A20DE9"/>
    <w:rsid w:val="00A374B8"/>
    <w:rsid w:val="00A45E1C"/>
    <w:rsid w:val="00A57BEC"/>
    <w:rsid w:val="00A70649"/>
    <w:rsid w:val="00AB53AA"/>
    <w:rsid w:val="00AF453B"/>
    <w:rsid w:val="00B01F8E"/>
    <w:rsid w:val="00B0609A"/>
    <w:rsid w:val="00B16A59"/>
    <w:rsid w:val="00B33F06"/>
    <w:rsid w:val="00B37B61"/>
    <w:rsid w:val="00B72850"/>
    <w:rsid w:val="00BA1734"/>
    <w:rsid w:val="00BA58B6"/>
    <w:rsid w:val="00BA7051"/>
    <w:rsid w:val="00BB0397"/>
    <w:rsid w:val="00BD2DB3"/>
    <w:rsid w:val="00C06F30"/>
    <w:rsid w:val="00C168B2"/>
    <w:rsid w:val="00C3108A"/>
    <w:rsid w:val="00C416F8"/>
    <w:rsid w:val="00C708EA"/>
    <w:rsid w:val="00C87C15"/>
    <w:rsid w:val="00CC77D5"/>
    <w:rsid w:val="00CD49BE"/>
    <w:rsid w:val="00CF42F3"/>
    <w:rsid w:val="00D01F5C"/>
    <w:rsid w:val="00D1023D"/>
    <w:rsid w:val="00D26627"/>
    <w:rsid w:val="00D3162D"/>
    <w:rsid w:val="00D34AE4"/>
    <w:rsid w:val="00D525B5"/>
    <w:rsid w:val="00D61F51"/>
    <w:rsid w:val="00DB3E0A"/>
    <w:rsid w:val="00DC5CF0"/>
    <w:rsid w:val="00DF2219"/>
    <w:rsid w:val="00DF5A86"/>
    <w:rsid w:val="00E059DF"/>
    <w:rsid w:val="00E06CDB"/>
    <w:rsid w:val="00E10D35"/>
    <w:rsid w:val="00E2534E"/>
    <w:rsid w:val="00E34863"/>
    <w:rsid w:val="00E62A43"/>
    <w:rsid w:val="00E67EA5"/>
    <w:rsid w:val="00E761BB"/>
    <w:rsid w:val="00E877F7"/>
    <w:rsid w:val="00E97CDC"/>
    <w:rsid w:val="00EA1439"/>
    <w:rsid w:val="00EB129F"/>
    <w:rsid w:val="00EB7BE8"/>
    <w:rsid w:val="00EE7C88"/>
    <w:rsid w:val="00EF2027"/>
    <w:rsid w:val="00EF70D3"/>
    <w:rsid w:val="00EF7233"/>
    <w:rsid w:val="00F04A98"/>
    <w:rsid w:val="00F164DF"/>
    <w:rsid w:val="00F316FC"/>
    <w:rsid w:val="00F32666"/>
    <w:rsid w:val="00F473DA"/>
    <w:rsid w:val="00F56D56"/>
    <w:rsid w:val="00F77897"/>
    <w:rsid w:val="00F90034"/>
    <w:rsid w:val="00FA61DD"/>
    <w:rsid w:val="00FB781C"/>
    <w:rsid w:val="00FD3067"/>
    <w:rsid w:val="00FD5F1C"/>
    <w:rsid w:val="00FD6C3F"/>
    <w:rsid w:val="00FE04DB"/>
    <w:rsid w:val="00FE3C37"/>
    <w:rsid w:val="00FE6CA9"/>
    <w:rsid w:val="00FF7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00C6"/>
  <w15:chartTrackingRefBased/>
  <w15:docId w15:val="{B61D8393-B36C-4E27-8239-2D156C33D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1C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C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1C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C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C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C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C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C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C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C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C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1C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C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C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C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C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C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C57"/>
    <w:rPr>
      <w:rFonts w:eastAsiaTheme="majorEastAsia" w:cstheme="majorBidi"/>
      <w:color w:val="272727" w:themeColor="text1" w:themeTint="D8"/>
    </w:rPr>
  </w:style>
  <w:style w:type="paragraph" w:styleId="Title">
    <w:name w:val="Title"/>
    <w:basedOn w:val="Normal"/>
    <w:next w:val="Normal"/>
    <w:link w:val="TitleChar"/>
    <w:uiPriority w:val="10"/>
    <w:qFormat/>
    <w:rsid w:val="00081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C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C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C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C57"/>
    <w:pPr>
      <w:spacing w:before="160"/>
      <w:jc w:val="center"/>
    </w:pPr>
    <w:rPr>
      <w:i/>
      <w:iCs/>
      <w:color w:val="404040" w:themeColor="text1" w:themeTint="BF"/>
    </w:rPr>
  </w:style>
  <w:style w:type="character" w:customStyle="1" w:styleId="QuoteChar">
    <w:name w:val="Quote Char"/>
    <w:basedOn w:val="DefaultParagraphFont"/>
    <w:link w:val="Quote"/>
    <w:uiPriority w:val="29"/>
    <w:rsid w:val="00081C57"/>
    <w:rPr>
      <w:i/>
      <w:iCs/>
      <w:color w:val="404040" w:themeColor="text1" w:themeTint="BF"/>
    </w:rPr>
  </w:style>
  <w:style w:type="paragraph" w:styleId="ListParagraph">
    <w:name w:val="List Paragraph"/>
    <w:basedOn w:val="Normal"/>
    <w:uiPriority w:val="34"/>
    <w:qFormat/>
    <w:rsid w:val="00081C57"/>
    <w:pPr>
      <w:ind w:left="720"/>
      <w:contextualSpacing/>
    </w:pPr>
  </w:style>
  <w:style w:type="character" w:styleId="IntenseEmphasis">
    <w:name w:val="Intense Emphasis"/>
    <w:basedOn w:val="DefaultParagraphFont"/>
    <w:uiPriority w:val="21"/>
    <w:qFormat/>
    <w:rsid w:val="00081C57"/>
    <w:rPr>
      <w:i/>
      <w:iCs/>
      <w:color w:val="0F4761" w:themeColor="accent1" w:themeShade="BF"/>
    </w:rPr>
  </w:style>
  <w:style w:type="paragraph" w:styleId="IntenseQuote">
    <w:name w:val="Intense Quote"/>
    <w:basedOn w:val="Normal"/>
    <w:next w:val="Normal"/>
    <w:link w:val="IntenseQuoteChar"/>
    <w:uiPriority w:val="30"/>
    <w:qFormat/>
    <w:rsid w:val="00081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C57"/>
    <w:rPr>
      <w:i/>
      <w:iCs/>
      <w:color w:val="0F4761" w:themeColor="accent1" w:themeShade="BF"/>
    </w:rPr>
  </w:style>
  <w:style w:type="character" w:styleId="IntenseReference">
    <w:name w:val="Intense Reference"/>
    <w:basedOn w:val="DefaultParagraphFont"/>
    <w:uiPriority w:val="32"/>
    <w:qFormat/>
    <w:rsid w:val="00081C57"/>
    <w:rPr>
      <w:b/>
      <w:bCs/>
      <w:smallCaps/>
      <w:color w:val="0F4761" w:themeColor="accent1" w:themeShade="BF"/>
      <w:spacing w:val="5"/>
    </w:rPr>
  </w:style>
  <w:style w:type="paragraph" w:styleId="Header">
    <w:name w:val="header"/>
    <w:basedOn w:val="Normal"/>
    <w:link w:val="HeaderChar"/>
    <w:uiPriority w:val="99"/>
    <w:unhideWhenUsed/>
    <w:rsid w:val="00D31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162D"/>
  </w:style>
  <w:style w:type="paragraph" w:styleId="Footer">
    <w:name w:val="footer"/>
    <w:basedOn w:val="Normal"/>
    <w:link w:val="FooterChar"/>
    <w:uiPriority w:val="99"/>
    <w:unhideWhenUsed/>
    <w:rsid w:val="00D31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162D"/>
  </w:style>
  <w:style w:type="character" w:styleId="Emphasis">
    <w:name w:val="Emphasis"/>
    <w:basedOn w:val="DefaultParagraphFont"/>
    <w:uiPriority w:val="20"/>
    <w:qFormat/>
    <w:rsid w:val="00D3162D"/>
    <w:rPr>
      <w:i/>
      <w:iCs/>
    </w:rPr>
  </w:style>
  <w:style w:type="character" w:styleId="Hyperlink">
    <w:name w:val="Hyperlink"/>
    <w:basedOn w:val="DefaultParagraphFont"/>
    <w:uiPriority w:val="99"/>
    <w:unhideWhenUsed/>
    <w:rsid w:val="00D3162D"/>
    <w:rPr>
      <w:color w:val="0000FF"/>
      <w:u w:val="single"/>
    </w:rPr>
  </w:style>
  <w:style w:type="character" w:styleId="CommentReference">
    <w:name w:val="annotation reference"/>
    <w:basedOn w:val="DefaultParagraphFont"/>
    <w:uiPriority w:val="99"/>
    <w:semiHidden/>
    <w:unhideWhenUsed/>
    <w:rsid w:val="00EE7C88"/>
    <w:rPr>
      <w:sz w:val="16"/>
      <w:szCs w:val="16"/>
    </w:rPr>
  </w:style>
  <w:style w:type="paragraph" w:styleId="CommentText">
    <w:name w:val="annotation text"/>
    <w:basedOn w:val="Normal"/>
    <w:link w:val="CommentTextChar"/>
    <w:uiPriority w:val="99"/>
    <w:unhideWhenUsed/>
    <w:rsid w:val="00EE7C88"/>
    <w:pPr>
      <w:spacing w:line="240" w:lineRule="auto"/>
    </w:pPr>
    <w:rPr>
      <w:sz w:val="20"/>
      <w:szCs w:val="20"/>
    </w:rPr>
  </w:style>
  <w:style w:type="character" w:customStyle="1" w:styleId="CommentTextChar">
    <w:name w:val="Comment Text Char"/>
    <w:basedOn w:val="DefaultParagraphFont"/>
    <w:link w:val="CommentText"/>
    <w:uiPriority w:val="99"/>
    <w:rsid w:val="00EE7C88"/>
    <w:rPr>
      <w:sz w:val="20"/>
      <w:szCs w:val="20"/>
    </w:rPr>
  </w:style>
  <w:style w:type="paragraph" w:styleId="CommentSubject">
    <w:name w:val="annotation subject"/>
    <w:basedOn w:val="CommentText"/>
    <w:next w:val="CommentText"/>
    <w:link w:val="CommentSubjectChar"/>
    <w:uiPriority w:val="99"/>
    <w:semiHidden/>
    <w:unhideWhenUsed/>
    <w:rsid w:val="00EE7C88"/>
    <w:rPr>
      <w:b/>
      <w:bCs/>
    </w:rPr>
  </w:style>
  <w:style w:type="character" w:customStyle="1" w:styleId="CommentSubjectChar">
    <w:name w:val="Comment Subject Char"/>
    <w:basedOn w:val="CommentTextChar"/>
    <w:link w:val="CommentSubject"/>
    <w:uiPriority w:val="99"/>
    <w:semiHidden/>
    <w:rsid w:val="00EE7C88"/>
    <w:rPr>
      <w:b/>
      <w:bCs/>
      <w:sz w:val="20"/>
      <w:szCs w:val="20"/>
    </w:rPr>
  </w:style>
  <w:style w:type="character" w:styleId="UnresolvedMention">
    <w:name w:val="Unresolved Mention"/>
    <w:basedOn w:val="DefaultParagraphFont"/>
    <w:uiPriority w:val="99"/>
    <w:semiHidden/>
    <w:unhideWhenUsed/>
    <w:rsid w:val="00A45E1C"/>
    <w:rPr>
      <w:color w:val="605E5C"/>
      <w:shd w:val="clear" w:color="auto" w:fill="E1DFDD"/>
    </w:rPr>
  </w:style>
  <w:style w:type="paragraph" w:styleId="Revision">
    <w:name w:val="Revision"/>
    <w:hidden/>
    <w:uiPriority w:val="99"/>
    <w:semiHidden/>
    <w:rsid w:val="005B14D7"/>
    <w:pPr>
      <w:spacing w:after="0" w:line="240" w:lineRule="auto"/>
    </w:pPr>
  </w:style>
  <w:style w:type="paragraph" w:styleId="FootnoteText">
    <w:name w:val="footnote text"/>
    <w:basedOn w:val="Normal"/>
    <w:link w:val="FootnoteTextChar"/>
    <w:uiPriority w:val="99"/>
    <w:semiHidden/>
    <w:unhideWhenUsed/>
    <w:rsid w:val="00D102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023D"/>
    <w:rPr>
      <w:sz w:val="20"/>
      <w:szCs w:val="20"/>
    </w:rPr>
  </w:style>
  <w:style w:type="character" w:styleId="FootnoteReference">
    <w:name w:val="footnote reference"/>
    <w:basedOn w:val="DefaultParagraphFont"/>
    <w:uiPriority w:val="99"/>
    <w:semiHidden/>
    <w:unhideWhenUsed/>
    <w:rsid w:val="00D1023D"/>
    <w:rPr>
      <w:vertAlign w:val="superscript"/>
    </w:rPr>
  </w:style>
  <w:style w:type="paragraph" w:styleId="BodyText">
    <w:name w:val="Body Text"/>
    <w:basedOn w:val="Normal"/>
    <w:link w:val="BodyTextChar"/>
    <w:uiPriority w:val="1"/>
    <w:qFormat/>
    <w:rsid w:val="00D61F51"/>
    <w:pPr>
      <w:widowControl w:val="0"/>
      <w:autoSpaceDE w:val="0"/>
      <w:autoSpaceDN w:val="0"/>
      <w:spacing w:after="0" w:line="240" w:lineRule="auto"/>
    </w:pPr>
    <w:rPr>
      <w:rFonts w:ascii="Arial" w:eastAsia="Arial" w:hAnsi="Arial" w:cs="Arial"/>
      <w:kern w:val="0"/>
      <w:sz w:val="18"/>
      <w:szCs w:val="18"/>
      <w14:ligatures w14:val="none"/>
    </w:rPr>
  </w:style>
  <w:style w:type="character" w:customStyle="1" w:styleId="BodyTextChar">
    <w:name w:val="Body Text Char"/>
    <w:basedOn w:val="DefaultParagraphFont"/>
    <w:link w:val="BodyText"/>
    <w:uiPriority w:val="1"/>
    <w:rsid w:val="00D61F51"/>
    <w:rPr>
      <w:rFonts w:ascii="Arial" w:eastAsia="Arial" w:hAnsi="Arial" w:cs="Arial"/>
      <w:kern w:val="0"/>
      <w:sz w:val="18"/>
      <w:szCs w:val="18"/>
      <w14:ligatures w14:val="none"/>
    </w:rPr>
  </w:style>
  <w:style w:type="paragraph" w:customStyle="1" w:styleId="StationarySubhead910">
    <w:name w:val="Stationary Subhead 9/10"/>
    <w:basedOn w:val="StationaryText910"/>
    <w:uiPriority w:val="99"/>
    <w:rsid w:val="00BD2DB3"/>
    <w:pPr>
      <w:contextualSpacing/>
    </w:pPr>
    <w:rPr>
      <w:rFonts w:ascii="ArialNarrow-Bold" w:hAnsi="ArialNarrow-Bold" w:cs="ArialNarrow-Bold"/>
      <w:b/>
      <w:bCs/>
    </w:rPr>
  </w:style>
  <w:style w:type="paragraph" w:customStyle="1" w:styleId="StationaryText910">
    <w:name w:val="Stationary Text 9/10"/>
    <w:basedOn w:val="NoSpacing"/>
    <w:uiPriority w:val="99"/>
    <w:rsid w:val="00BD2DB3"/>
    <w:pPr>
      <w:widowControl w:val="0"/>
      <w:autoSpaceDE w:val="0"/>
      <w:autoSpaceDN w:val="0"/>
      <w:adjustRightInd w:val="0"/>
      <w:spacing w:line="200" w:lineRule="atLeast"/>
      <w:textAlignment w:val="center"/>
    </w:pPr>
    <w:rPr>
      <w:rFonts w:ascii="ArialNarrow" w:hAnsi="ArialNarrow" w:cs="ArialNarrow"/>
      <w:spacing w:val="-4"/>
      <w:kern w:val="0"/>
      <w:sz w:val="18"/>
      <w:szCs w:val="18"/>
      <w14:ligatures w14:val="none"/>
    </w:rPr>
  </w:style>
  <w:style w:type="paragraph" w:styleId="NoSpacing">
    <w:name w:val="No Spacing"/>
    <w:uiPriority w:val="1"/>
    <w:qFormat/>
    <w:rsid w:val="00BD2D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search.yahoo.com/_ylt=AwrFeHqf1tNpe8QALqAPxQt.;_ylu=Y29sbwNiZjEEcG9zAzEEdnRpZAMEc2VjA3Ny/RV=2/RE=1776700319/RO=10/RU=https%3a%2f%2faxpc.org%2f/RK=2/RS=EAu2om0.BBXUFj3XyC27LOo6fso-"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gunnulfsen@afpm.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federalregister.gov/citation/89-FR-17622" TargetMode="External"/><Relationship Id="rId4" Type="http://schemas.openxmlformats.org/officeDocument/2006/relationships/settings" Target="settings.xml"/><Relationship Id="rId9" Type="http://schemas.openxmlformats.org/officeDocument/2006/relationships/hyperlink" Target="https://www.federalregister.gov/citation/67-FR-47042"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8F8E8-0E56-4692-84CC-7B17525ED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1295</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8664</CharactersWithSpaces>
  <SharedDoc>false</SharedDoc>
  <HLinks>
    <vt:vector size="24" baseType="variant">
      <vt:variant>
        <vt:i4>3080209</vt:i4>
      </vt:variant>
      <vt:variant>
        <vt:i4>9</vt:i4>
      </vt:variant>
      <vt:variant>
        <vt:i4>0</vt:i4>
      </vt:variant>
      <vt:variant>
        <vt:i4>5</vt:i4>
      </vt:variant>
      <vt:variant>
        <vt:lpwstr>mailto:jgunnulfsen@afpm.org</vt:lpwstr>
      </vt:variant>
      <vt:variant>
        <vt:lpwstr/>
      </vt:variant>
      <vt:variant>
        <vt:i4>1638419</vt:i4>
      </vt:variant>
      <vt:variant>
        <vt:i4>6</vt:i4>
      </vt:variant>
      <vt:variant>
        <vt:i4>0</vt:i4>
      </vt:variant>
      <vt:variant>
        <vt:i4>5</vt:i4>
      </vt:variant>
      <vt:variant>
        <vt:lpwstr>https://www.federalregister.gov/citation/89-FR-17622</vt:lpwstr>
      </vt:variant>
      <vt:variant>
        <vt:lpwstr/>
      </vt:variant>
      <vt:variant>
        <vt:i4>1310747</vt:i4>
      </vt:variant>
      <vt:variant>
        <vt:i4>3</vt:i4>
      </vt:variant>
      <vt:variant>
        <vt:i4>0</vt:i4>
      </vt:variant>
      <vt:variant>
        <vt:i4>5</vt:i4>
      </vt:variant>
      <vt:variant>
        <vt:lpwstr>https://www.federalregister.gov/citation/67-FR-47042</vt:lpwstr>
      </vt:variant>
      <vt:variant>
        <vt:lpwstr/>
      </vt:variant>
      <vt:variant>
        <vt:i4>1638401</vt:i4>
      </vt:variant>
      <vt:variant>
        <vt:i4>0</vt:i4>
      </vt:variant>
      <vt:variant>
        <vt:i4>0</vt:i4>
      </vt:variant>
      <vt:variant>
        <vt:i4>5</vt:i4>
      </vt:variant>
      <vt:variant>
        <vt:lpwstr>https://r.search.yahoo.com/_ylt=AwrFeHqf1tNpe8QALqAPxQt.;_ylu=Y29sbwNiZjEEcG9zAzEEdnRpZAMEc2VjA3Ny/RV=2/RE=1776700319/RO=10/RU=https%3a%2f%2faxpc.org%2f/RK=2/RS=EAu2om0.BBXUFj3XyC27LOo6fso-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Gunnulfsen</dc:creator>
  <cp:keywords/>
  <dc:description/>
  <cp:lastModifiedBy>Jeff Gunnulfsen</cp:lastModifiedBy>
  <cp:revision>2</cp:revision>
  <dcterms:created xsi:type="dcterms:W3CDTF">2026-04-08T13:08:00Z</dcterms:created>
  <dcterms:modified xsi:type="dcterms:W3CDTF">2026-04-08T13:08:00Z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cf3088f5-1aeb-4e3e-9346-d94b8862fd45</vt:lpwstr>
  </property>
</Properties>
</file>